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6.0 -->
  <w:body>
    <w:p w:rsidR="00951D05" w:rsidRPr="002B41C2" w:rsidP="001A7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1C2" w:rsidR="002B41C2">
        <w:rPr>
          <w:rFonts w:ascii="Times New Roman" w:hAnsi="Times New Roman"/>
          <w:b/>
          <w:sz w:val="28"/>
          <w:szCs w:val="28"/>
        </w:rPr>
        <w:t xml:space="preserve">БЕЛЫНИЧСКИЙ РАЙОННЫЙ </w:t>
      </w:r>
      <w:r w:rsidRPr="002B41C2">
        <w:rPr>
          <w:rFonts w:ascii="Times New Roman" w:hAnsi="Times New Roman"/>
          <w:b/>
          <w:sz w:val="28"/>
          <w:szCs w:val="28"/>
        </w:rPr>
        <w:t>ИСПОЛНИТЕЛЬНЫЙ КОМИТЕТ</w:t>
      </w:r>
    </w:p>
    <w:p w:rsidR="00951D05" w:rsidRPr="002B41C2" w:rsidP="001A7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1D05" w:rsidRPr="002B41C2" w:rsidP="001A7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1C2" w:rsidR="002B41C2">
        <w:rPr>
          <w:rFonts w:ascii="Times New Roman" w:hAnsi="Times New Roman"/>
          <w:b/>
          <w:sz w:val="28"/>
          <w:szCs w:val="28"/>
        </w:rPr>
        <w:t>ОТДЕЛ</w:t>
      </w:r>
      <w:r w:rsidRPr="002B41C2">
        <w:rPr>
          <w:rFonts w:ascii="Times New Roman" w:hAnsi="Times New Roman"/>
          <w:b/>
          <w:sz w:val="28"/>
          <w:szCs w:val="28"/>
        </w:rPr>
        <w:t xml:space="preserve"> ИДЕОЛОГИЧЕСКОЙ РАБОТЫ</w:t>
      </w:r>
      <w:r w:rsidRPr="002B41C2" w:rsidR="002B41C2">
        <w:rPr>
          <w:rFonts w:ascii="Times New Roman" w:hAnsi="Times New Roman"/>
          <w:b/>
          <w:sz w:val="28"/>
          <w:szCs w:val="28"/>
        </w:rPr>
        <w:t>. КУЛЬТУРЫ</w:t>
      </w:r>
    </w:p>
    <w:p w:rsidR="00951D05" w:rsidRPr="002B41C2" w:rsidP="001A7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1C2">
        <w:rPr>
          <w:rFonts w:ascii="Times New Roman" w:hAnsi="Times New Roman"/>
          <w:b/>
          <w:sz w:val="28"/>
          <w:szCs w:val="28"/>
        </w:rPr>
        <w:t>И ПО ДЕЛАМ МОЛОДЕЖИ</w:t>
      </w: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B41C2" w:rsidRPr="001A7DBC" w:rsidP="002B41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</w:t>
      </w:r>
      <w:r w:rsidRPr="001A7DBC">
        <w:rPr>
          <w:rFonts w:ascii="Times New Roman" w:hAnsi="Times New Roman"/>
          <w:b/>
          <w:sz w:val="32"/>
          <w:szCs w:val="32"/>
        </w:rPr>
        <w:t>атериал  для информационно-пропагандистских групп</w:t>
      </w:r>
    </w:p>
    <w:p w:rsidR="00951D05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31D50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RPr="001A7DBC" w:rsidP="009E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A7DB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ИТОГИ </w:t>
      </w:r>
      <w:r w:rsidR="009E65A8">
        <w:rPr>
          <w:rFonts w:ascii="Times New Roman" w:eastAsia="Times New Roman" w:hAnsi="Times New Roman"/>
          <w:b/>
          <w:sz w:val="32"/>
          <w:szCs w:val="32"/>
          <w:lang w:eastAsia="ru-RU"/>
        </w:rPr>
        <w:t>СОЦИАЛЬНО-ЭКОНОМИЧЕСКОГО РАЗВИТИЯ МОГИЛЕВСКОЙ ОБЛАСТИ ЗА 2015-2020гг.</w:t>
      </w:r>
    </w:p>
    <w:p w:rsidR="00951D05" w:rsidRPr="001A7DBC" w:rsidP="001A7DB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51D05" w:rsidP="001A7D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 w:rsidR="00830C62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ПРАВИЛА СОБЛЮДАЕМ – ЖИЗНЬ СОХРАНЯЕМ</w:t>
      </w:r>
    </w:p>
    <w:p w:rsidR="00830C62" w:rsidP="001A7D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30C62" w:rsidP="00830C6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«О СОСТОЯНИИ ТРАВМАТИЗМА В ЭНЕРГОУСТАНОВКАХ ПОТРЕБИТЕЛЕЙ МОГИЛЕВСКОЙ ОБЛАСТИ ЗА 2019 ГОД И МЕРАХ ПО ЕГО ПРЕДОТВРАЩЕНИЮ В 2020 ГОДУ»</w:t>
      </w:r>
    </w:p>
    <w:p w:rsidR="00830C62" w:rsidRPr="001A7DBC" w:rsidP="001A7D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 w:rsidRPr="0094308B">
        <w:rPr>
          <w:rFonts w:ascii="Times New Roman" w:hAnsi="Times New Roman"/>
          <w:b/>
          <w:sz w:val="28"/>
          <w:szCs w:val="28"/>
        </w:rPr>
        <w:t xml:space="preserve">Приложение «Погода в кармане» – </w:t>
      </w:r>
      <w:r>
        <w:rPr>
          <w:rFonts w:ascii="Times New Roman" w:hAnsi="Times New Roman"/>
          <w:b/>
          <w:sz w:val="28"/>
          <w:szCs w:val="28"/>
        </w:rPr>
        <w:t xml:space="preserve">официальное мобильное </w:t>
      </w:r>
      <w:r w:rsidRPr="0094308B">
        <w:rPr>
          <w:rFonts w:ascii="Times New Roman" w:hAnsi="Times New Roman"/>
          <w:b/>
          <w:sz w:val="28"/>
          <w:szCs w:val="28"/>
        </w:rPr>
        <w:t>приложение</w:t>
      </w:r>
      <w:r w:rsidRPr="00046593">
        <w:t xml:space="preserve"> </w:t>
      </w:r>
      <w:r w:rsidRPr="00046593">
        <w:rPr>
          <w:rFonts w:ascii="Times New Roman" w:hAnsi="Times New Roman"/>
          <w:b/>
          <w:sz w:val="28"/>
          <w:szCs w:val="28"/>
        </w:rPr>
        <w:t>Белгидромет</w:t>
      </w:r>
      <w:r w:rsidRPr="0094308B">
        <w:rPr>
          <w:rFonts w:ascii="Times New Roman" w:hAnsi="Times New Roman"/>
          <w:b/>
          <w:sz w:val="28"/>
          <w:szCs w:val="28"/>
        </w:rPr>
        <w:t xml:space="preserve"> для определения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308B">
        <w:rPr>
          <w:rFonts w:ascii="Times New Roman" w:hAnsi="Times New Roman"/>
          <w:b/>
          <w:sz w:val="28"/>
          <w:szCs w:val="28"/>
        </w:rPr>
        <w:t>погодных условий</w:t>
      </w: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30C62" w:rsidP="00830C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57236">
        <w:rPr>
          <w:rFonts w:ascii="Times New Roman" w:hAnsi="Times New Roman"/>
          <w:b/>
          <w:sz w:val="30"/>
          <w:szCs w:val="30"/>
        </w:rPr>
        <w:t>Детский травматизм</w:t>
      </w: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B43AE" w:rsidRPr="00652282" w:rsidP="006B43A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652282">
        <w:rPr>
          <w:rFonts w:ascii="Times New Roman" w:hAnsi="Times New Roman"/>
          <w:b/>
          <w:sz w:val="30"/>
          <w:szCs w:val="30"/>
          <w:lang w:val="be-BY"/>
        </w:rPr>
        <w:t>“Таямніцы малой радзімы”</w:t>
      </w:r>
    </w:p>
    <w:p w:rsidR="006B43AE" w:rsidRPr="00652282" w:rsidP="006B43A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652282">
        <w:rPr>
          <w:rFonts w:ascii="Times New Roman" w:hAnsi="Times New Roman"/>
          <w:b/>
          <w:sz w:val="30"/>
          <w:szCs w:val="30"/>
          <w:lang w:val="be-BY"/>
        </w:rPr>
        <w:t>Бялыніцкае падполле</w:t>
      </w: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C615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C615C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30C62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30C62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30C62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30C62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E65A8" w:rsidRPr="001A7DBC" w:rsidP="001A7D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1D05" w:rsidRPr="001A7DBC" w:rsidP="001A7D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A7DBC">
        <w:rPr>
          <w:rFonts w:ascii="Times New Roman" w:hAnsi="Times New Roman"/>
          <w:b/>
          <w:sz w:val="32"/>
          <w:szCs w:val="32"/>
        </w:rPr>
        <w:t xml:space="preserve">г. </w:t>
      </w:r>
      <w:r w:rsidR="002B41C2">
        <w:rPr>
          <w:rFonts w:ascii="Times New Roman" w:hAnsi="Times New Roman"/>
          <w:b/>
          <w:sz w:val="32"/>
          <w:szCs w:val="32"/>
        </w:rPr>
        <w:t>Белыничи</w:t>
      </w:r>
    </w:p>
    <w:p w:rsidR="00951D05" w:rsidRPr="001A7DBC" w:rsidP="001A7D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="009E65A8">
        <w:rPr>
          <w:rFonts w:ascii="Times New Roman" w:hAnsi="Times New Roman"/>
          <w:b/>
          <w:sz w:val="32"/>
          <w:szCs w:val="32"/>
        </w:rPr>
        <w:t>май</w:t>
      </w:r>
      <w:r w:rsidRPr="001A7DBC">
        <w:rPr>
          <w:rFonts w:ascii="Times New Roman" w:hAnsi="Times New Roman"/>
          <w:b/>
          <w:sz w:val="32"/>
          <w:szCs w:val="32"/>
        </w:rPr>
        <w:t xml:space="preserve"> 2020 г.</w:t>
      </w:r>
    </w:p>
    <w:p w:rsidR="009E65A8" w:rsidP="009E65A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7DB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ИТОГИ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СОЦИАЛЬНО-ЭКОНОМИЧЕСКОГО РАЗВИТИЯ МОГИЛЕВСКОЙ ОБЛАСТИ ЗА 2015-2020гг.</w:t>
      </w:r>
    </w:p>
    <w:p w:rsidR="009E65A8" w:rsidRPr="009E65A8" w:rsidP="009E65A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Руководством Могилевской области создаются достойные условия для полноценной и комфортной жизни граждан. Проведение системной экономической региональной политики оказывает интегральное воздействие на все факторы экономического роста региона.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Для </w:t>
      </w:r>
      <w:r w:rsidRPr="004B2FCB">
        <w:rPr>
          <w:rFonts w:ascii="Times New Roman" w:eastAsia="Times New Roman" w:hAnsi="Times New Roman"/>
          <w:sz w:val="30"/>
          <w:szCs w:val="30"/>
        </w:rPr>
        <w:t>обеспечени</w:t>
      </w:r>
      <w:r w:rsidRPr="004B2FCB">
        <w:rPr>
          <w:rFonts w:ascii="Times New Roman" w:hAnsi="Times New Roman"/>
          <w:sz w:val="30"/>
          <w:szCs w:val="30"/>
        </w:rPr>
        <w:t>я</w:t>
      </w:r>
      <w:r w:rsidRPr="004B2FCB">
        <w:rPr>
          <w:rFonts w:ascii="Times New Roman" w:eastAsia="Times New Roman" w:hAnsi="Times New Roman"/>
          <w:sz w:val="30"/>
          <w:szCs w:val="30"/>
        </w:rPr>
        <w:t xml:space="preserve"> сбалансированности экономики</w:t>
      </w:r>
      <w:r w:rsidRPr="004B2FCB">
        <w:rPr>
          <w:rFonts w:ascii="Times New Roman" w:hAnsi="Times New Roman"/>
          <w:sz w:val="30"/>
          <w:szCs w:val="30"/>
        </w:rPr>
        <w:t xml:space="preserve"> в городах и районах Могилевской области реализуются программы социально-экономического развития на 2016–2020 гг., в соответствии с которыми разработан к</w:t>
      </w:r>
      <w:r w:rsidRPr="004B2FCB">
        <w:rPr>
          <w:rFonts w:ascii="Times New Roman" w:eastAsia="Times New Roman" w:hAnsi="Times New Roman"/>
          <w:sz w:val="30"/>
          <w:szCs w:val="30"/>
        </w:rPr>
        <w:t>омплекс мер по решению задач социально-экономического развития городов и районов, главн</w:t>
      </w:r>
      <w:r w:rsidRPr="004B2FCB">
        <w:rPr>
          <w:rFonts w:ascii="Times New Roman" w:hAnsi="Times New Roman"/>
          <w:sz w:val="30"/>
          <w:szCs w:val="30"/>
        </w:rPr>
        <w:t>ой</w:t>
      </w:r>
      <w:r w:rsidRPr="004B2FCB">
        <w:rPr>
          <w:rFonts w:ascii="Times New Roman" w:eastAsia="Times New Roman" w:hAnsi="Times New Roman"/>
          <w:sz w:val="30"/>
          <w:szCs w:val="30"/>
        </w:rPr>
        <w:t xml:space="preserve"> цель</w:t>
      </w:r>
      <w:r w:rsidRPr="004B2FCB">
        <w:rPr>
          <w:rFonts w:ascii="Times New Roman" w:hAnsi="Times New Roman"/>
          <w:sz w:val="30"/>
          <w:szCs w:val="30"/>
        </w:rPr>
        <w:t>ю</w:t>
      </w:r>
      <w:r w:rsidRPr="004B2FCB">
        <w:rPr>
          <w:rFonts w:ascii="Times New Roman" w:eastAsia="Times New Roman" w:hAnsi="Times New Roman"/>
          <w:sz w:val="30"/>
          <w:szCs w:val="30"/>
        </w:rPr>
        <w:t xml:space="preserve"> </w:t>
      </w:r>
      <w:r w:rsidRPr="004B2FCB">
        <w:rPr>
          <w:rFonts w:ascii="Times New Roman" w:hAnsi="Times New Roman"/>
          <w:sz w:val="30"/>
          <w:szCs w:val="30"/>
        </w:rPr>
        <w:t>которого является</w:t>
      </w:r>
      <w:r w:rsidRPr="004B2FCB">
        <w:rPr>
          <w:rFonts w:ascii="Times New Roman" w:eastAsia="Times New Roman" w:hAnsi="Times New Roman"/>
          <w:sz w:val="30"/>
          <w:szCs w:val="30"/>
        </w:rPr>
        <w:t xml:space="preserve"> рост благосостояния и улучшение условий жизни населения на основе совершенствования социально-экономических отношений, инновационного развития и повышения конкурентоспособности экономики город</w:t>
      </w:r>
      <w:r w:rsidRPr="004B2FCB">
        <w:rPr>
          <w:rFonts w:ascii="Times New Roman" w:hAnsi="Times New Roman"/>
          <w:sz w:val="30"/>
          <w:szCs w:val="30"/>
        </w:rPr>
        <w:t>ов и районов</w:t>
      </w:r>
      <w:r w:rsidRPr="004B2FCB">
        <w:rPr>
          <w:rFonts w:ascii="Times New Roman" w:eastAsia="Times New Roman" w:hAnsi="Times New Roman"/>
          <w:sz w:val="30"/>
          <w:szCs w:val="30"/>
        </w:rPr>
        <w:t>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 xml:space="preserve">Городами и районами разработаны и реализуются также планы развития, основной целью которых является осуществление ряда структурных преобразований, направленных на рост эффективности экономики регионов, повышение мотивации и результативности труда, достижение финансовой стабильности экономики в целом и ее секторов, улучшение качества и уровня жизни. 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Кроме этого, горрайисполкомами области разработаны и реализуются планы индустриализации городов и районов, в которых определены предпочтительные сектора экономики и территории для реализации проектов индустриализации, сформированы инвестиционные проекты и предложения с учетом инфраструктуры, наличия полезных ископаемых и интересов местных жителей. Их реализация позволит повысить инвестиционную и инновационную привлекательность городов и районов и создать комфортную среды для проживания граждан на соответствующих территориях.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результате реализуемых мер по итогам 4 лет текущей пятилетки областью выполняются задания по экспорту товаров (без учета республиканских организаций, а также нефти и нефтепродуктов) – фактически 159,6 % при задании на 2016-2019 гг. 120,1–123,8 %, экспорту услуг (без учета республиканских организаций – 160,9% при задании 112,8–113,1 %, привлечению прямых иностранных инвестиций на чистой основе (без учета задолженности прямому инвестору за товары, работы, услуги) – 295,6 млн. долларов при задании 272,2 млн. долларов, количеству трудоустроенных граждан на вновь созданные рабочие места за счет создания новых предприятий и производств – 19 231 человек при задании 17 560 человек.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Необходимым элементом региональной экономической политики является развитие  малого и среднего предпринимательства, что подтверждается увеличением его вклада в экономику области.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Так, удельный вес субъектов малого и среднего предпринимательства (юридических лиц и индивидуальных предпринимателей) Могилевской области в основных экономических показателях развития области вырос: в валовой добавленной стоимости с 22,8 % в 2015 году до 24,8 % в 2018 году, в выручке от реализации продукции, товаров, работ, услуг с 30,6 % до 35,1 %, в средней численности работников с 26,2 % до 28,2 %.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Удельный вес субъектов малого и среднего предпринимательства –юридических лиц вырос: в объеме промышленного производства с 18,2% в 2015 году до 24,1% в 2018 году, в инвестициях в основной капитал – с 32,0% до 39,3%, в экспорте товаров с 21,4% до 32,9%.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Положительную тенденцию имеет удельный вес поступлений, уплачиваемых субъектами малого и среднего предпринимательства в консолидированный бюджет в его общем объеме. В 2015 году он составлял 27,8 %, в 2019 году – 36,9%, в январе-марте 2020 г. – 35,9%.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области реализуются мероприятия, направленные на улучшение деловой среды, содействие развитию субъектов малого и среднего предпринимательства, совершенствование инфраструктуры поддержки малого и среднего предпринимательства, формирование позитивного отношения к предпринимательской инициативе граждан. Для этих целей в области зарегистрировано 13 центров поддержки предпринимательства и 5 инкубаторов малого предпринимательства.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val="be-BY"/>
        </w:rPr>
      </w:pPr>
      <w:r w:rsidRPr="004B2FCB">
        <w:rPr>
          <w:rFonts w:ascii="Times New Roman" w:hAnsi="Times New Roman"/>
          <w:sz w:val="30"/>
          <w:szCs w:val="30"/>
          <w:lang w:val="be-BY"/>
        </w:rPr>
        <w:t>Важным объектом государственного регулирования экономики являются инвестиции и инновации. Влияние на активность инвестиционно-инновационного процесса осуществляется непосредственным участием в инвестиционных проектах, стимулированием частных инвестиций в реальном секторе экономики.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Наиболее значимыми инвестиционными проектами</w:t>
      </w:r>
      <w:r w:rsidRPr="004B2FCB">
        <w:rPr>
          <w:rFonts w:ascii="Times New Roman" w:hAnsi="Times New Roman"/>
          <w:iCs/>
          <w:sz w:val="30"/>
          <w:szCs w:val="30"/>
        </w:rPr>
        <w:t>, влияющими на экономику региона, являются</w:t>
      </w:r>
      <w:r w:rsidRPr="004B2FCB">
        <w:rPr>
          <w:rFonts w:ascii="Times New Roman" w:hAnsi="Times New Roman"/>
          <w:sz w:val="30"/>
          <w:szCs w:val="30"/>
        </w:rPr>
        <w:t>: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строительство, организация производства и последующая эксплуатация завода по выпуску ориентировано-стружечных плит (ОСБ) в г. Могилев на территории СЭЗ «Могилев», ИООО «Кроноспан ОСБ» (2013-2021 гг., за период реализации проекта освоено инвестиций на сумму 443,6 млн. рублей, создано 185 рабочих мест);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создание предприятия по производству технического углерода </w:t>
        <w:br/>
        <w:t>в СЭЗ «Могилев» Могилевского района Могилевской области и железнодорожного подъезда к нему, ИООО «Омск Карбон Могилев» (2013-2020 гг., освоено инвестиций 197,8 млн. рублей, или 146,5 % к плановому объему, создано 359 рабочих мест из 465 запланированных);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модернизация производства в помещении крутильно-ткацкого корпуса по ул. Гришина, 87-3 и в здании отделочного корпуса по ул. Гришина, 87 в г. Могилеве, ОАО «Моготекс» (2018-2020 гг., освоено 38,7 млн. рублей инвестиций, или 71,3 %);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создание объекта «Агропредприятие «Белдан» по производству зерна и датской беконной свинины мощностью 53 000 голов в год вблизи дер. Ветка Белыничского района, ИООО «БОННЕТИ» (2018-2022 гг., освоено инвестиций 50,7 млн. рублей, или 76,8 %, создано 48 запланированных рабочих мест);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строительство свиноводческого комплекса проектной мощностью 24 000 голов в год ОАО «Могилевский мясокомбинат» в районе дер. Перегон Славгородского района (2018-2020 гг., объем освоенных инвестиций – 31,9 млн. рублей, или 67,2 %, предусмотрено создание 57 рабочих мест, из них 7 создано);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расширение промышленного комплекса по производству мяса цыплят бройлеров ЗАО «Серволюкс Агро» (третья очередь) (2014-2020 гг., объем освоенных инвестиций – 38,4 млн. рублей, или 102,6 %, создано 75 рабочих мест из 148 запланированных).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Начата реализация такого приоритетного проекта, как организация нового лесопильного и пеллетного производства в г. Бобруйске, ООО «БР-Вуд» (2019-2021 гг., заявленный объем инвестиций – 21 млн. евро, предусмотрено создание 54 рабочих мест).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 xml:space="preserve">Кроме этого, в программе социально-экономического развития области на 2016-2020 гг. обозначен ряд мероприятий, которые реализуются промышленными предприятиями области.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>Модернизация ОАО «Белшина» продолжается не один год, реализован ряд инвестиционных проектов. Проведено техническое перевооружение завода массовых шин, крупногабаритных шин. Завершен первый этап модернизации завод сверхкрупнонабаритных шин. Масштабная модернизация позволила с 2013 года внедрить в производство порядка 130 новых типоразмеров шин.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 xml:space="preserve">ОАО «Могилевхимволокно» в два этапа реализуется инвестиционный проект по производству полиэфирной продукции. В конце 2018 года в строй введено </w:t>
      </w:r>
      <w:r w:rsidRPr="004B2FCB">
        <w:rPr>
          <w:rFonts w:ascii="Times New Roman" w:eastAsia="Times New Roman" w:hAnsi="Times New Roman"/>
          <w:bCs/>
          <w:sz w:val="30"/>
          <w:szCs w:val="30"/>
        </w:rPr>
        <w:t xml:space="preserve">производство по выпуску полиэфирного волокна способом прямого формования.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4B2FCB">
        <w:rPr>
          <w:rFonts w:ascii="Times New Roman" w:eastAsia="Times New Roman" w:hAnsi="Times New Roman"/>
          <w:bCs/>
          <w:sz w:val="30"/>
          <w:szCs w:val="30"/>
        </w:rPr>
        <w:t xml:space="preserve">В дальнейшем планируется реализация второго этапа инвестиционного проекта, который предусматривает создание крупнотоннажного комплекса по выпуску профильной для предприятия продукции: полиэтилентерефталата, полиэфирных волокон и нитей.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 xml:space="preserve">Главным приоритетом научно-технического развития ОАО «Могилевлифтмаш» является освоение в производстве нового поколения лифтового оборудования, которое по своим технико-экономическим и потребительским свойствам не уступает лучшим иностранным аналогам.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 xml:space="preserve">В настоящее время обществом реализуются два инвестиционных проекта: «Модернизация производства для освоения выпуска лифтов на базе безредукторного привода: лифтов эконом-класса, лифтов бизнес-класса, лифтов для высотного строительства» и «Создание производства эскалаторов поэтажных» (сроки реализации проектов 2016-2020 годы).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>Освоение производства эскалаторов поэтажных и траволаторов со степенью локализации не менее 50 %, что послужит увеличению номенклатуры выпуска новой импортозамещающей продукции и расширению рынков сбыта.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Важную роль в развитии региональной экономики, повышении ее конкурентоспособности играет эффективная внешнеэкономическая политика</w:t>
      </w:r>
      <w:r w:rsidRPr="004B2FCB">
        <w:rPr>
          <w:rFonts w:ascii="Times New Roman" w:hAnsi="Times New Roman"/>
          <w:i/>
          <w:sz w:val="30"/>
          <w:szCs w:val="30"/>
        </w:rPr>
        <w:t xml:space="preserve">. </w:t>
      </w:r>
      <w:r w:rsidRPr="004B2FCB">
        <w:rPr>
          <w:rFonts w:ascii="Times New Roman" w:hAnsi="Times New Roman"/>
          <w:sz w:val="30"/>
          <w:szCs w:val="30"/>
        </w:rPr>
        <w:t xml:space="preserve">Так, объем экспорта в целом по области увеличился в 1,3 раза с 1,7 в 2015 году до 2,3 млрд. долларов в 2019 году, по организациям коммунальной и без ведомственной подчиненности в 1,6 раз.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Увеличилось положительное сальдо внешней торговли. Если в 2015 году оно составляло 548,3 млн. долларов, то по итогам 2019 года 776,2 млн. долларов.</w:t>
        <w:tab/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Увеличилось и количество субъектов внешнеэкономической деятельности, осуществляющих экспортные поставки, с 712 до 904. </w:t>
        <w:tab/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Отмечается активное вовлечение во внешнеэкономическую деятельность организаций частной формы собственности, которые создают экспортоориентированные производства с привлечением иностранных инвестиций и выпускают продукцию с высокой добавленной стоимостью.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Количество таких организаций–экспортеров возросло с 567 в 2015 году до 781 в 2019 году.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2019 году их удельный вес составил 46,5 % против 32,9 % в 2015 году, суммарный объем их экспорта увеличился почти в 2 раза с 551,5 млн. долларов в 2015 году до 1057,3 млн. долларов по итогам 2019 года.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2015 году Могилевская область осуществляла экспортные поставки в 97 страны, по итогам 2019 года – в 100 стран.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С целью принятия мер оперативного регулирования по сбалансированному развитию экономики региона ежегодно  формируется План мероприятий по импортозамещению Могилевской области.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Всего за последние пять лет (2015-2019 гг.) областью произведено импортозамещающей продукции на сумму 2,6 млрд. долл. США, при этом производство импортозамещающей продукции увеличилось с  411 млн. долл. США в 2015 г. до 630 млн. долл. США в 2019 г.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Удельный вес импортозамещающей продукции в объеме промышленного производства области </w:t>
      </w:r>
      <w:r w:rsidRPr="004B2FCB">
        <w:rPr>
          <w:rFonts w:ascii="Times New Roman" w:hAnsi="Times New Roman"/>
          <w:i/>
          <w:sz w:val="30"/>
          <w:szCs w:val="30"/>
        </w:rPr>
        <w:t>(без учета республиканских организаций</w:t>
      </w:r>
      <w:r w:rsidRPr="004B2FCB">
        <w:rPr>
          <w:rFonts w:ascii="Times New Roman" w:hAnsi="Times New Roman"/>
          <w:sz w:val="30"/>
          <w:szCs w:val="30"/>
        </w:rPr>
        <w:t>) увеличился с 21,7 % в 2015 г. до 40,1 % в 2019 г. (или на 18,4 процентного пункта).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Доля поставок импортозамещающей продукции на экспорт увеличилась с 27,6 % в 2015 г. до 52,7 % в 2019 г. (или на 25,1 процентного пункта).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Удельный вес производства импортозамещающей продукции организаций малого и среднего бизнеса в общем объеме импортозамещения увеличился  с 48,0 % за 2015 г. до 69,4 % за 2019 г. (или на 21,4 процентного пункта).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4B2FCB">
        <w:rPr>
          <w:rFonts w:ascii="Times New Roman" w:eastAsia="Times New Roman" w:hAnsi="Times New Roman"/>
          <w:sz w:val="30"/>
          <w:szCs w:val="30"/>
        </w:rPr>
        <w:t>В разрезе предприятий области в направлении выпуска импортозамещающей продукции успешно работают: ОАО «Бабушкина крынка – управляющая компания холдинга «</w:t>
      </w:r>
      <w:r w:rsidRPr="004B2FCB">
        <w:rPr>
          <w:rFonts w:ascii="Times New Roman" w:hAnsi="Times New Roman"/>
          <w:sz w:val="30"/>
          <w:szCs w:val="30"/>
        </w:rPr>
        <w:t xml:space="preserve">Могилевская молочная компания «Бабушкина крынка», ЗАО «Серволюкс Агро», </w:t>
      </w:r>
      <w:r w:rsidRPr="004B2FCB">
        <w:rPr>
          <w:rFonts w:ascii="Times New Roman" w:eastAsia="Times New Roman" w:hAnsi="Times New Roman"/>
          <w:sz w:val="30"/>
          <w:szCs w:val="30"/>
        </w:rPr>
        <w:t xml:space="preserve">СООО «Оазис Групп», </w:t>
      </w:r>
      <w:r w:rsidRPr="004B2FCB">
        <w:rPr>
          <w:rFonts w:ascii="Times New Roman" w:hAnsi="Times New Roman"/>
          <w:sz w:val="30"/>
          <w:szCs w:val="30"/>
        </w:rPr>
        <w:t xml:space="preserve">ИООО «Кроноспан ОСБ», ООО «Кронохем», </w:t>
      </w:r>
      <w:r w:rsidRPr="004B2FCB">
        <w:rPr>
          <w:rFonts w:ascii="Times New Roman" w:eastAsia="Times New Roman" w:hAnsi="Times New Roman"/>
          <w:sz w:val="30"/>
          <w:szCs w:val="30"/>
        </w:rPr>
        <w:t xml:space="preserve">ИЧПУП «Косметическо-парфюмерная фабрика «Сонца», ИООО «Кровельный завод «ТехноНИКОЛЬ», ЗАО «Альтимед» и другие.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Динамичному развитию внешней торговли способствует проводимая системная работа по межрегиональному сотрудничеству.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настоящее время Могилевским облисполкомом заключено более 60 документов о сотрудничестве с регионами зарубежных государств.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Продолжилось развитие межрегиональных связей со странами СНГ, Европейского союза и «дальней дуги».   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Заметно активизировалось сотрудничество с Китаем. Сегодня оно успешно осуществляется с пятью регионами (четырьмя провинциями – Цзянсу, Хэнань, Хунань, Шэньси и городом Тяньцзинь). Благодаря этому значительно увеличился и внешнеторговый оборот Могилевской области и Китая.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Так, в 2019 году внешнеторговый оборот Могилевской области и Китая составил 171,5 млн. долларов США, что почти в 3 раза больше чем в 2015 году. Экспорт товаров в 2019 году по сравнению с 2015 годом вырос в 12,6 раза и составил 26,7 млн. долларов.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Кроме того, отмечается определённый опыт в организации совместных международных мероприятий.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4B2FCB">
        <w:rPr>
          <w:rFonts w:ascii="Times New Roman" w:hAnsi="Times New Roman"/>
          <w:i/>
          <w:sz w:val="30"/>
          <w:szCs w:val="30"/>
        </w:rPr>
        <w:t>Справочно:</w:t>
      </w:r>
      <w:r w:rsidRPr="004B2FCB">
        <w:rPr>
          <w:rFonts w:ascii="Times New Roman" w:hAnsi="Times New Roman"/>
          <w:sz w:val="30"/>
          <w:szCs w:val="30"/>
        </w:rPr>
        <w:t xml:space="preserve">  </w:t>
      </w:r>
      <w:r w:rsidRPr="004B2FCB">
        <w:rPr>
          <w:rFonts w:ascii="Times New Roman" w:hAnsi="Times New Roman"/>
          <w:i/>
          <w:sz w:val="30"/>
          <w:szCs w:val="30"/>
        </w:rPr>
        <w:t>27 сентября 2018 г. в г. Могилеве прошел Белорусско-Китайский бизнес-форум, соорганизатором Форума выступил Департамент коммерции провинции Цзянсу. Также в сентябре 2019 года в области прошла первая Региональная Белорусско-Китайская неделя сотрудничества.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Расширяются связи с регионами России. Только в рамках Форумов регионов Беларуси и России областным исполнительным комитетом заключены документы о сотрудничестве с 15 российскими регионами.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Проведен ряд мероприятий межрегионального характера, из которых наиболее масштабные это ‒ комплексная презентация Могилевской области на площадке Делового и культурного комплекса Посольства Республики Беларусь в Российской Федерации </w:t>
      </w:r>
      <w:r w:rsidRPr="004B2FCB">
        <w:rPr>
          <w:rFonts w:ascii="Times New Roman" w:hAnsi="Times New Roman"/>
          <w:i/>
          <w:sz w:val="30"/>
          <w:szCs w:val="30"/>
        </w:rPr>
        <w:t>(октябрь 2017 г.)</w:t>
      </w:r>
      <w:r w:rsidRPr="004B2FCB">
        <w:rPr>
          <w:rFonts w:ascii="Times New Roman" w:hAnsi="Times New Roman"/>
          <w:sz w:val="30"/>
          <w:szCs w:val="30"/>
        </w:rPr>
        <w:t xml:space="preserve">; ежегодный международный инвестиционный форум «Мельница успеха»; Форумы регионов Беларуси и России; Форумы регионов  Беларуси и Украины; Форум регионов Беларуси и Узбекистана.  </w:t>
      </w:r>
    </w:p>
    <w:p w:rsidR="009E65A8" w:rsidRPr="004B2FCB" w:rsidP="009E65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течение последних лет в области отмечен поступательный рост заработной платы. В 2019 году по отношению к 2015 году реальная заработная плата выросла на 18,2%.</w:t>
      </w:r>
    </w:p>
    <w:p w:rsidR="009E65A8" w:rsidRPr="004B2FCB" w:rsidP="009E65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По итогам января-марта 2020 года реальная заработная плата по области выросла к соответствующему периоду прошлого года на 8,5%. Заработная плата за март 2020 года по области составила 971,0 рубль.</w:t>
      </w:r>
    </w:p>
    <w:p w:rsidR="009E65A8" w:rsidRPr="004B2FCB" w:rsidP="009E65A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С начала 2015 года по апрель 2020 года оказано содействие в трудоустройстве 121,4 тыс. гражданам, в том числе трудоустроено 78,9 тыс. безработных. </w:t>
      </w:r>
    </w:p>
    <w:p w:rsidR="009E65A8" w:rsidRPr="004B2FCB" w:rsidP="009E65A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2016–2019 годах, первом квартале 2020 года на вновь созданные рабочие места за счет создания новых производств и предприятий трудоустроено 20,4 тыс. человек.</w:t>
      </w:r>
    </w:p>
    <w:p w:rsidR="009E65A8" w:rsidRPr="004B2FCB" w:rsidP="009E65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B2FCB">
        <w:rPr>
          <w:rFonts w:ascii="Times New Roman" w:hAnsi="Times New Roman"/>
          <w:color w:val="000000"/>
          <w:sz w:val="30"/>
          <w:szCs w:val="30"/>
        </w:rPr>
        <w:t>Принимаются меры по повышению уровня пенсий, регулярно производятся их перерасчеты в связи с ростом средней заработной платы работников и бюджета прожиточного минимума в среднем на душу населения. Так, средний размер пенсии по возрасту с мая 2020 года  составляет 444,1 руб. и увеличился к январю 2020 г. на 3,4%,  к январю 2016 года - на 65,2%.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последние годы выполнены масштабные работы по строительству, модернизации, реконструкции и ремонту объектов здравоохранения области.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Так, в 2016 году введен в эксплуатацию лечебно-диагностический корпус УЗ «Кричевская центральная районная больница». В 2017 году открыта лаборатория исследования пищевых продуктов на 60 тысяч проводимых исследований в год в г. Могилеве. В 2018 году введены в эксплуатацию операционный корпус в УЗ «Могилевский областной онкологический диспансер» и новый 3-х этажный корпус УЗ «Могилевская городская больница скорой медицинской помощи». В июне 2019 года открыт патоморфологический корпус УЗ «Могилевский областной онкологический диспансер».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В УЗ «Могилевская городская больница скорой медицинской помощи» открыты ангиографический кабинет и кабинет лазерной микрохирургии глаза, помещение для работы магнитно-резонансного томографа. Открыт блок краткосрочного пребывания, оснащенный самым современным оборудованием и отделение пластической эстетической хирургии. Завершена реконструкция родильного дома больницы.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На протяжении последних 3-х лет активно осуществлено переоснащение медицинским оборудованием учреждений здравоохранения Могилевской области.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Парк автомобилей скорой медицинской помощи  в областном центре за последние годы обновился на 29 единиц автомашин. Только в 2019 году приобретено 12 специализированных автомобилей.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планах – строительство кардиохирургического корпуса в УЗ «Могилевская областная больница».</w:t>
      </w:r>
    </w:p>
    <w:p w:rsidR="009E65A8" w:rsidRPr="004B2FCB" w:rsidP="009E65A8">
      <w:pPr>
        <w:pStyle w:val="15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С 2015 по 2019 годы и 4 месяца 2020 г. на территории Могилевской области отмечается снижение преступности</w:t>
      </w:r>
      <w:r w:rsidRPr="004B2FCB">
        <w:rPr>
          <w:rStyle w:val="145pt"/>
          <w:rFonts w:ascii="Times New Roman" w:hAnsi="Times New Roman"/>
          <w:sz w:val="30"/>
          <w:szCs w:val="30"/>
        </w:rPr>
        <w:t xml:space="preserve"> (2015 г. - 11103</w:t>
      </w:r>
      <w:r w:rsidRPr="004B2FCB">
        <w:rPr>
          <w:rStyle w:val="145pt"/>
          <w:rFonts w:ascii="Times New Roman" w:hAnsi="Times New Roman"/>
          <w:i w:val="0"/>
          <w:sz w:val="30"/>
          <w:szCs w:val="30"/>
        </w:rPr>
        <w:t xml:space="preserve">,  </w:t>
      </w:r>
      <w:r w:rsidRPr="004B2FCB">
        <w:rPr>
          <w:rStyle w:val="145pt"/>
          <w:rFonts w:ascii="Times New Roman" w:hAnsi="Times New Roman"/>
          <w:sz w:val="30"/>
          <w:szCs w:val="30"/>
        </w:rPr>
        <w:t>2019</w:t>
      </w:r>
      <w:r w:rsidRPr="004B2FCB">
        <w:rPr>
          <w:rFonts w:ascii="Times New Roman" w:hAnsi="Times New Roman"/>
          <w:i/>
          <w:sz w:val="30"/>
          <w:szCs w:val="30"/>
        </w:rPr>
        <w:t xml:space="preserve"> г. - 9900 преступлений</w:t>
      </w:r>
      <w:r w:rsidRPr="004B2FCB">
        <w:rPr>
          <w:rFonts w:ascii="Times New Roman" w:hAnsi="Times New Roman"/>
          <w:sz w:val="30"/>
          <w:szCs w:val="30"/>
        </w:rPr>
        <w:t>).</w:t>
      </w:r>
    </w:p>
    <w:p w:rsidR="009E65A8" w:rsidRPr="004B2FCB" w:rsidP="009E65A8">
      <w:pPr>
        <w:pStyle w:val="40"/>
        <w:shd w:val="clear" w:color="auto" w:fill="auto"/>
        <w:spacing w:line="240" w:lineRule="auto"/>
        <w:ind w:left="20" w:right="20" w:firstLine="720"/>
        <w:rPr>
          <w:rFonts w:ascii="Times New Roman" w:hAnsi="Times New Roman"/>
          <w:sz w:val="30"/>
          <w:szCs w:val="30"/>
        </w:rPr>
      </w:pPr>
      <w:r w:rsidRPr="004B2FCB">
        <w:rPr>
          <w:rStyle w:val="414pt"/>
          <w:rFonts w:ascii="Times New Roman" w:hAnsi="Times New Roman"/>
          <w:i w:val="0"/>
          <w:sz w:val="30"/>
          <w:szCs w:val="30"/>
        </w:rPr>
        <w:t>Меньше совершено преступлений на 10 тысяч населения</w:t>
      </w:r>
      <w:r w:rsidRPr="004B2FCB">
        <w:rPr>
          <w:rFonts w:ascii="Times New Roman" w:hAnsi="Times New Roman"/>
          <w:sz w:val="30"/>
          <w:szCs w:val="30"/>
        </w:rPr>
        <w:t xml:space="preserve"> </w:t>
      </w:r>
      <w:r w:rsidRPr="004B2FCB">
        <w:rPr>
          <w:rFonts w:ascii="Times New Roman" w:hAnsi="Times New Roman"/>
          <w:i/>
          <w:sz w:val="30"/>
          <w:szCs w:val="30"/>
        </w:rPr>
        <w:t>(2015 г. - 103,6; 2019 г. – 93,8 преступлений)</w:t>
      </w:r>
      <w:r w:rsidRPr="004B2FCB">
        <w:rPr>
          <w:rFonts w:ascii="Times New Roman" w:hAnsi="Times New Roman"/>
          <w:sz w:val="30"/>
          <w:szCs w:val="30"/>
        </w:rPr>
        <w:t>, преступлений по линии наркоконтроля и противодействия торговле людьми</w:t>
      </w:r>
      <w:r w:rsidRPr="004B2FCB">
        <w:rPr>
          <w:rStyle w:val="145pt"/>
          <w:rFonts w:ascii="Times New Roman" w:hAnsi="Times New Roman"/>
          <w:sz w:val="30"/>
          <w:szCs w:val="30"/>
        </w:rPr>
        <w:t xml:space="preserve"> (2015 г. - 837; 2019 г. - 604).</w:t>
      </w:r>
    </w:p>
    <w:p w:rsidR="009E65A8" w:rsidRPr="004B2FCB" w:rsidP="009E65A8">
      <w:pPr>
        <w:pStyle w:val="40"/>
        <w:shd w:val="clear" w:color="auto" w:fill="auto"/>
        <w:spacing w:line="240" w:lineRule="auto"/>
        <w:ind w:right="20" w:firstLine="720"/>
        <w:rPr>
          <w:rFonts w:ascii="Times New Roman" w:hAnsi="Times New Roman"/>
          <w:sz w:val="30"/>
          <w:szCs w:val="30"/>
        </w:rPr>
      </w:pPr>
      <w:r w:rsidRPr="004B2FCB">
        <w:rPr>
          <w:rStyle w:val="414pt"/>
          <w:rFonts w:ascii="Times New Roman" w:hAnsi="Times New Roman"/>
          <w:i w:val="0"/>
          <w:sz w:val="30"/>
          <w:szCs w:val="30"/>
        </w:rPr>
        <w:t>С 2015 года уменьшилось количество ДТП</w:t>
      </w:r>
      <w:r w:rsidRPr="004B2FCB">
        <w:rPr>
          <w:rStyle w:val="414pt"/>
          <w:rFonts w:ascii="Times New Roman" w:hAnsi="Times New Roman"/>
          <w:sz w:val="30"/>
          <w:szCs w:val="30"/>
        </w:rPr>
        <w:t xml:space="preserve"> </w:t>
      </w:r>
      <w:r w:rsidRPr="004B2FCB">
        <w:rPr>
          <w:rStyle w:val="414pt"/>
          <w:rFonts w:ascii="Times New Roman" w:hAnsi="Times New Roman"/>
          <w:i w:val="0"/>
          <w:sz w:val="30"/>
          <w:szCs w:val="30"/>
        </w:rPr>
        <w:t>(</w:t>
      </w:r>
      <w:r w:rsidRPr="004B2FCB">
        <w:rPr>
          <w:rFonts w:ascii="Times New Roman" w:hAnsi="Times New Roman"/>
          <w:i/>
          <w:sz w:val="30"/>
          <w:szCs w:val="30"/>
        </w:rPr>
        <w:t>2015 г. - 579; 2019 г. - 412)</w:t>
      </w:r>
      <w:r w:rsidRPr="004B2FCB">
        <w:rPr>
          <w:rFonts w:ascii="Times New Roman" w:hAnsi="Times New Roman"/>
          <w:sz w:val="30"/>
          <w:szCs w:val="30"/>
        </w:rPr>
        <w:t>,</w:t>
      </w:r>
      <w:r w:rsidRPr="004B2FCB">
        <w:rPr>
          <w:rStyle w:val="414pt"/>
          <w:rFonts w:ascii="Times New Roman" w:hAnsi="Times New Roman"/>
          <w:sz w:val="30"/>
          <w:szCs w:val="30"/>
        </w:rPr>
        <w:t xml:space="preserve"> </w:t>
      </w:r>
      <w:r w:rsidRPr="004B2FCB">
        <w:rPr>
          <w:rStyle w:val="414pt"/>
          <w:rFonts w:ascii="Times New Roman" w:hAnsi="Times New Roman"/>
          <w:i w:val="0"/>
          <w:sz w:val="30"/>
          <w:szCs w:val="30"/>
        </w:rPr>
        <w:t>погибших</w:t>
      </w:r>
      <w:r w:rsidRPr="004B2FCB">
        <w:rPr>
          <w:rStyle w:val="414pt"/>
          <w:rFonts w:ascii="Times New Roman" w:hAnsi="Times New Roman"/>
          <w:sz w:val="30"/>
          <w:szCs w:val="30"/>
        </w:rPr>
        <w:t xml:space="preserve"> </w:t>
      </w:r>
      <w:r w:rsidRPr="004B2FCB">
        <w:rPr>
          <w:rFonts w:ascii="Times New Roman" w:hAnsi="Times New Roman"/>
          <w:i/>
          <w:sz w:val="30"/>
          <w:szCs w:val="30"/>
        </w:rPr>
        <w:t xml:space="preserve">(2015 г. - 92; 2019 г. - 52). </w:t>
      </w:r>
      <w:r w:rsidRPr="004B2FCB">
        <w:rPr>
          <w:rStyle w:val="414pt"/>
          <w:rFonts w:ascii="Times New Roman" w:hAnsi="Times New Roman"/>
          <w:sz w:val="30"/>
          <w:szCs w:val="30"/>
        </w:rPr>
        <w:t xml:space="preserve"> </w:t>
      </w:r>
    </w:p>
    <w:p w:rsidR="009E65A8" w:rsidRPr="004B2FCB" w:rsidP="009E65A8">
      <w:pPr>
        <w:pStyle w:val="newncpi"/>
        <w:rPr>
          <w:sz w:val="30"/>
          <w:szCs w:val="30"/>
        </w:rPr>
      </w:pPr>
      <w:r w:rsidRPr="004B2FCB">
        <w:rPr>
          <w:sz w:val="30"/>
          <w:szCs w:val="30"/>
        </w:rPr>
        <w:t>Результаты работы торговли области в 2016 – 1 квартале 2020 года характеризуются динамичным развитием внутреннего потребительского рынка. В</w:t>
      </w:r>
      <w:r w:rsidRPr="004B2FCB">
        <w:rPr>
          <w:color w:val="000000"/>
          <w:sz w:val="30"/>
          <w:szCs w:val="30"/>
        </w:rPr>
        <w:t xml:space="preserve"> области наблюдается </w:t>
      </w:r>
      <w:r w:rsidRPr="004B2FCB">
        <w:rPr>
          <w:sz w:val="30"/>
          <w:szCs w:val="30"/>
        </w:rPr>
        <w:t xml:space="preserve">стабильная ситуация по обеспечению насыщенности потребительского рынка, бесперебойному наличию в нем товаров. </w:t>
      </w:r>
    </w:p>
    <w:p w:rsidR="009E65A8" w:rsidRPr="004B2FCB" w:rsidP="009E65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В условиях ценовой стабильности, роста доходов населения за 2016 – 1 квартал 2020 года обеспечен темп роста розничного товарооборота в целом по области 116,7% в сопоставимых ценах. </w:t>
      </w:r>
    </w:p>
    <w:p w:rsidR="009E65A8" w:rsidRPr="004B2FCB" w:rsidP="009E65A8">
      <w:pPr>
        <w:pStyle w:val="newncpi"/>
        <w:rPr>
          <w:sz w:val="30"/>
          <w:szCs w:val="30"/>
        </w:rPr>
      </w:pPr>
      <w:r w:rsidRPr="004B2FCB">
        <w:rPr>
          <w:sz w:val="30"/>
          <w:szCs w:val="30"/>
        </w:rPr>
        <w:t xml:space="preserve">По данным Торгового реестра Республики Беларусь, за период с 2016 – 1 квартал 2020 года количество объектов розничной торговли увеличилось на 2302 единицы и составило 13794. Показатель обеспеченности населения торговыми площадями в целом по области увеличился до 747,6 кв.м. на 1 тыс. жителей при нормативе – 600 кв. м. на 1 тыс. жителей. </w:t>
      </w:r>
    </w:p>
    <w:p w:rsidR="009E65A8" w:rsidRPr="004B2FCB" w:rsidP="009E65A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ab/>
        <w:t>Развитие потребительского рынка области в 2021-2025 годы будет направлено на удовлетворение платежеспособного спроса населения на потребительские товары с высоким уровнем качества и по доступным ценам, в т.ч. посредством совершенствования инфраструктуры торговли и ее цифровизации.</w:t>
        <w:tab/>
      </w:r>
    </w:p>
    <w:p w:rsidR="009E65A8" w:rsidRPr="004B2FCB" w:rsidP="009E65A8">
      <w:pPr>
        <w:pStyle w:val="Style4"/>
        <w:widowControl/>
        <w:ind w:firstLine="715"/>
        <w:jc w:val="both"/>
        <w:rPr>
          <w:sz w:val="30"/>
          <w:szCs w:val="30"/>
        </w:rPr>
      </w:pPr>
      <w:r w:rsidRPr="004B2FCB">
        <w:rPr>
          <w:sz w:val="30"/>
          <w:szCs w:val="30"/>
        </w:rPr>
        <w:t>В целях обеспечения целевого индикатора по розничному товарообороту в области продолжат свое развитие:</w:t>
      </w:r>
    </w:p>
    <w:p w:rsidR="009E65A8" w:rsidRPr="004B2FCB" w:rsidP="009E65A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ab/>
        <w:t>торговая инфраструктура за счет увеличения розничных торговых объектов;</w:t>
      </w:r>
    </w:p>
    <w:p w:rsidR="009E65A8" w:rsidRPr="004B2FCB" w:rsidP="009E65A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ab/>
        <w:t xml:space="preserve">внемагазинные формы продаж (интернет – торговля, торговля по образцам с использованием электронных платежных инструментов и средств платежа); </w:t>
      </w:r>
    </w:p>
    <w:p w:rsidR="009E65A8" w:rsidRPr="004B2FCB" w:rsidP="009E65A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ab/>
        <w:t>современные формы обслуживания (бесконтактные и мобильные платежи, автоматизированные расчеты за покупки при помощи электронных устройств и пр.).</w:t>
      </w:r>
    </w:p>
    <w:p w:rsidR="009E65A8" w:rsidRPr="004B2FCB" w:rsidP="009E65A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ab/>
        <w:t>Совершенствование торговой сети будет осуществляться как за счет многоформатной торговой инфраструктуры с предоставлением различного рода дополнительных услуг (парикмахерских, услуг по ремонту одежды и обуви и др.), так и путем развития магазинов шаговой доступности, стрит-ритейла.</w:t>
      </w:r>
    </w:p>
    <w:p w:rsidR="009E65A8" w:rsidRPr="004B2FCB" w:rsidP="009E65A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bCs/>
          <w:sz w:val="30"/>
          <w:szCs w:val="30"/>
        </w:rPr>
        <w:t xml:space="preserve">Развитие сферы общественного питания </w:t>
      </w:r>
      <w:r w:rsidRPr="004B2FCB">
        <w:rPr>
          <w:rFonts w:ascii="Times New Roman" w:hAnsi="Times New Roman"/>
          <w:sz w:val="30"/>
          <w:szCs w:val="30"/>
        </w:rPr>
        <w:t xml:space="preserve">будет направлено на </w:t>
      </w:r>
      <w:r w:rsidRPr="004B2FCB">
        <w:rPr>
          <w:rFonts w:ascii="Times New Roman" w:hAnsi="Times New Roman"/>
          <w:bCs/>
          <w:sz w:val="30"/>
          <w:szCs w:val="30"/>
        </w:rPr>
        <w:t xml:space="preserve"> совершенствование материально – технической базы существующих, а также </w:t>
      </w:r>
      <w:r w:rsidRPr="004B2FCB">
        <w:rPr>
          <w:rFonts w:ascii="Times New Roman" w:hAnsi="Times New Roman"/>
          <w:sz w:val="30"/>
          <w:szCs w:val="30"/>
        </w:rPr>
        <w:t xml:space="preserve">создание реальной конкурентной среды на рынке услуг питания за счет развития сети объектов общественного питания и совершенствования ее структуры, с учетом либерализации условий ведения ресторанного бизнеса, </w:t>
      </w:r>
      <w:r w:rsidRPr="004B2FCB">
        <w:rPr>
          <w:rFonts w:ascii="Times New Roman" w:hAnsi="Times New Roman"/>
          <w:bCs/>
          <w:sz w:val="30"/>
          <w:szCs w:val="30"/>
        </w:rPr>
        <w:t>открытия новых объектов общественного питания</w:t>
      </w:r>
      <w:r w:rsidRPr="004B2FCB">
        <w:rPr>
          <w:rFonts w:ascii="Times New Roman" w:hAnsi="Times New Roman"/>
          <w:sz w:val="30"/>
          <w:szCs w:val="30"/>
        </w:rPr>
        <w:t xml:space="preserve"> различного формата, в том числе </w:t>
      </w:r>
      <w:r w:rsidRPr="004B2FCB">
        <w:rPr>
          <w:rFonts w:ascii="Times New Roman" w:hAnsi="Times New Roman"/>
          <w:bCs/>
          <w:sz w:val="30"/>
          <w:szCs w:val="30"/>
        </w:rPr>
        <w:t xml:space="preserve">объектов быстрого обслуживания (кофейни, мини-кафе, рестораны быстрого обслуживания), </w:t>
      </w:r>
      <w:r w:rsidRPr="004B2FCB">
        <w:rPr>
          <w:rFonts w:ascii="Times New Roman" w:hAnsi="Times New Roman"/>
          <w:sz w:val="30"/>
          <w:szCs w:val="30"/>
        </w:rPr>
        <w:t>включения в меню национальных блюд, основанных на традициях белорусской национальной кухни. Дальнейшее развитие получит организация работы по доставке продукции собственного производства по  заказам потребителей с использованием интернет-сети, развитие кейтеринговых услуг.</w:t>
      </w:r>
    </w:p>
    <w:p w:rsidR="009E65A8" w:rsidRPr="004B2FCB" w:rsidP="009E65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Могилевская область вносит весомый вклад </w:t>
      </w:r>
      <w:r w:rsidR="00A93DFA">
        <w:rPr>
          <w:rFonts w:ascii="Times New Roman" w:hAnsi="Times New Roman"/>
          <w:sz w:val="30"/>
          <w:szCs w:val="30"/>
        </w:rPr>
        <w:t xml:space="preserve"> и </w:t>
      </w:r>
      <w:r w:rsidRPr="004B2FCB">
        <w:rPr>
          <w:rFonts w:ascii="Times New Roman" w:hAnsi="Times New Roman"/>
          <w:sz w:val="30"/>
          <w:szCs w:val="30"/>
        </w:rPr>
        <w:t>в развитие олим</w:t>
      </w:r>
      <w:r w:rsidRPr="004B2FCB">
        <w:rPr>
          <w:rFonts w:ascii="Times New Roman" w:hAnsi="Times New Roman"/>
          <w:sz w:val="30"/>
          <w:szCs w:val="30"/>
        </w:rPr>
        <w:softHyphen/>
        <w:t>пийского движения. В 2016 году на летних Олимпийских играх 2016 года в Рио-де-Жанейро завоевано 2 серебряные медали - Вадим Стрельцов и Дарья Наумова (тяжелая атлетика). На Паралимпийских играх в Рио-де-Жанейро Игорь Бокий завоевал 6 золотых и 1 бронзовую медаль, установив шесть паралимпийских и два мировых рекорда (плавание - инваспорт).</w:t>
      </w:r>
    </w:p>
    <w:p w:rsidR="009E65A8" w:rsidRPr="004B2FCB" w:rsidP="009E65A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2018 году на зимних Олимпийских играх в Пхенчхане победителем стала Динара Алимбекова (биатлон). Юрий Голуб завоевал одну золотую, две серебряных и одну бронзовую медали на Паралимпиаде (инваспорт- биатлон, лыжные гонки).</w:t>
      </w:r>
    </w:p>
    <w:p w:rsidR="009E65A8" w:rsidRPr="004B2FCB" w:rsidP="009E65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color w:val="000000"/>
          <w:sz w:val="30"/>
          <w:szCs w:val="30"/>
        </w:rPr>
        <w:t xml:space="preserve">В 2019 году на </w:t>
      </w:r>
      <w:r w:rsidRPr="004B2FCB">
        <w:rPr>
          <w:rFonts w:ascii="Times New Roman" w:hAnsi="Times New Roman"/>
          <w:color w:val="000000"/>
          <w:sz w:val="30"/>
          <w:szCs w:val="30"/>
          <w:lang w:val="en-US"/>
        </w:rPr>
        <w:t>II</w:t>
      </w:r>
      <w:r w:rsidRPr="004B2FCB">
        <w:rPr>
          <w:rFonts w:ascii="Times New Roman" w:hAnsi="Times New Roman"/>
          <w:color w:val="000000"/>
          <w:sz w:val="30"/>
          <w:szCs w:val="30"/>
        </w:rPr>
        <w:t xml:space="preserve"> Европейских играх спортсменами Могилевщины завоевано 10 - медалей (на </w:t>
      </w:r>
      <w:r w:rsidRPr="004B2FCB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Pr="004B2FCB">
        <w:rPr>
          <w:rFonts w:ascii="Times New Roman" w:hAnsi="Times New Roman"/>
          <w:color w:val="000000"/>
          <w:sz w:val="30"/>
          <w:szCs w:val="30"/>
        </w:rPr>
        <w:t xml:space="preserve"> Европейских играх - 6).</w:t>
      </w:r>
      <w:r w:rsidRPr="004B2FCB">
        <w:rPr>
          <w:rFonts w:ascii="Times New Roman" w:hAnsi="Times New Roman"/>
          <w:sz w:val="30"/>
          <w:szCs w:val="30"/>
        </w:rPr>
        <w:t xml:space="preserve"> </w:t>
      </w:r>
    </w:p>
    <w:p w:rsidR="009E65A8" w:rsidRPr="004B2FCB" w:rsidP="009E65A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Спортсменами Могилевской области на чемпионатах, Кубках и первенствах мира и Европы за олимпийский цикл 2013-2016 годов завоевано 424 медали различного достоинства, за олимпийский цикл 2017-2020 годов в настоящее время завоевано 407 медалей,  в том числе в 2019 году - 142 медалей различного достоинства, из них 105 - по олимпийским видам спорта.  Это лучший показатель за последние 20 лет. </w:t>
      </w:r>
    </w:p>
    <w:p w:rsidR="009E65A8" w:rsidRPr="004B2FCB" w:rsidP="009E65A8">
      <w:pPr>
        <w:pStyle w:val="BodyText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 2015-2019 годах велась работа по совершенствованию материальной базы физкультурно-спортивной отрасли области.</w:t>
      </w:r>
    </w:p>
    <w:p w:rsidR="009E65A8" w:rsidRPr="004B2FCB" w:rsidP="009E65A8">
      <w:pPr>
        <w:spacing w:after="0" w:line="240" w:lineRule="auto"/>
        <w:ind w:firstLine="705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В 2015 году проведена реконструкция зала борьбы СДЮШОР №3 и зала тяжелой атлетики СДЮШОР «Спартак-2005» в г. Могилеве, зала борьбы ДЮСШ №3 и </w:t>
      </w:r>
      <w:r w:rsidRPr="004B2FCB">
        <w:rPr>
          <w:rFonts w:ascii="Times New Roman" w:hAnsi="Times New Roman"/>
          <w:sz w:val="30"/>
          <w:szCs w:val="30"/>
          <w:lang w:val="be-BY"/>
        </w:rPr>
        <w:t xml:space="preserve">стадиона имени Александра Прокопенко в </w:t>
      </w:r>
      <w:r w:rsidRPr="004B2FCB">
        <w:rPr>
          <w:rFonts w:ascii="Times New Roman" w:hAnsi="Times New Roman"/>
          <w:sz w:val="30"/>
          <w:szCs w:val="30"/>
        </w:rPr>
        <w:t>г.Бобруйске. В 2016 году завершена реконструкция спортивного комплекса в г.Быхове (спортзал), введена в строй ледовая арена в г.Шклове и физкультурно-спортивный комплекс в г.п.Краснополье. В 2017 году введен в строй физкультурно-спортивный комплекс в г.Костюковичи. Завершена реконструкция бассейна в г.Глуске. Введен в эксплуатацию бассейн, тренажерный и 2 спортивных зала в средней школе г.Кричева. В 2018 году введен в эксплуатацию физкультурно-оздоровительный центр «Жемчужина» в г.Осиповичи,  бассейн, 2 тренажерных и 2 спортивных зала в средней школе г.Бобруйска. В 2019  году з</w:t>
      </w:r>
      <w:r w:rsidRPr="004B2FCB">
        <w:rPr>
          <w:rFonts w:ascii="Times New Roman" w:hAnsi="Times New Roman"/>
          <w:sz w:val="30"/>
          <w:szCs w:val="30"/>
          <w:lang w:val="be-BY"/>
        </w:rPr>
        <w:t xml:space="preserve">авершено строительство футбольного манежа и реконструкция </w:t>
      </w:r>
      <w:r w:rsidRPr="004B2FCB">
        <w:rPr>
          <w:rFonts w:ascii="Times New Roman" w:hAnsi="Times New Roman"/>
          <w:sz w:val="30"/>
          <w:szCs w:val="30"/>
        </w:rPr>
        <w:t>«</w:t>
      </w:r>
      <w:r w:rsidRPr="004B2FCB">
        <w:rPr>
          <w:rFonts w:ascii="Times New Roman" w:hAnsi="Times New Roman"/>
          <w:sz w:val="30"/>
          <w:szCs w:val="30"/>
          <w:lang w:val="be-BY"/>
        </w:rPr>
        <w:t>Космос-корта</w:t>
      </w:r>
      <w:r w:rsidRPr="004B2FCB">
        <w:rPr>
          <w:rFonts w:ascii="Times New Roman" w:hAnsi="Times New Roman"/>
          <w:sz w:val="30"/>
          <w:szCs w:val="30"/>
        </w:rPr>
        <w:t xml:space="preserve">», </w:t>
      </w:r>
      <w:r w:rsidRPr="004B2FCB">
        <w:rPr>
          <w:rFonts w:ascii="Times New Roman" w:hAnsi="Times New Roman"/>
          <w:sz w:val="30"/>
          <w:szCs w:val="30"/>
          <w:lang w:val="be-BY"/>
        </w:rPr>
        <w:t>в</w:t>
      </w:r>
      <w:r w:rsidRPr="004B2FCB">
        <w:rPr>
          <w:rFonts w:ascii="Times New Roman" w:hAnsi="Times New Roman"/>
          <w:sz w:val="30"/>
          <w:szCs w:val="30"/>
        </w:rPr>
        <w:t xml:space="preserve">ведены в эксплуатацию 2 тренажерных и  спортивный зал в средней школе </w:t>
      </w:r>
      <w:r w:rsidRPr="004B2FCB">
        <w:rPr>
          <w:rFonts w:ascii="Times New Roman" w:hAnsi="Times New Roman"/>
          <w:sz w:val="30"/>
          <w:szCs w:val="30"/>
          <w:lang w:val="be-BY"/>
        </w:rPr>
        <w:t xml:space="preserve">в Могилеве. </w:t>
      </w:r>
      <w:r w:rsidRPr="004B2FCB">
        <w:rPr>
          <w:rFonts w:ascii="Times New Roman" w:hAnsi="Times New Roman"/>
          <w:sz w:val="30"/>
          <w:szCs w:val="30"/>
        </w:rPr>
        <w:t>Проведена реконструкция городского стадиона в Глуске.</w:t>
      </w:r>
    </w:p>
    <w:p w:rsidR="009E65A8" w:rsidRPr="004B2FCB" w:rsidP="009E65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Проведена значительная работа по укреплению материально-технической базы организаций сферы культуры.</w:t>
      </w:r>
    </w:p>
    <w:p w:rsidR="009E65A8" w:rsidRPr="004B2FCB" w:rsidP="009E65A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B2FCB">
        <w:rPr>
          <w:rFonts w:ascii="Times New Roman" w:hAnsi="Times New Roman"/>
          <w:sz w:val="30"/>
          <w:szCs w:val="30"/>
        </w:rPr>
        <w:t xml:space="preserve">В 2016 году введено в эксплуатацию здание районного Дома культуры в г. Черикове. В 2017 году проведена реконструкция зданий районного Дома культуры и детской школы искусств г. Кличева. </w:t>
      </w:r>
      <w:r w:rsidRPr="004B2FCB">
        <w:rPr>
          <w:rFonts w:ascii="Times New Roman" w:hAnsi="Times New Roman"/>
          <w:sz w:val="30"/>
          <w:szCs w:val="30"/>
          <w:shd w:val="clear" w:color="auto" w:fill="FFFFFF"/>
        </w:rPr>
        <w:t xml:space="preserve">В 2018 году в г.Могилеве выполнены масштабные работы по капитальному ремонту здания Дворца культуры области в г.Могилеве, реконструирован музей В.К.Бялыницкого-Бирули, открыты 3 новых корпуса детских школ искусств. В 2019 году открыты и введены в эксплуатацию после реконструкции здание районного Дома культуры в г.Чаусы, Центр культуры и досуга в г.п.Глуске. </w:t>
      </w:r>
    </w:p>
    <w:p w:rsidR="009E65A8" w:rsidRPr="004B2FCB" w:rsidP="009E65A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За последние годы в городах Могилеве и Бобруйске построены </w:t>
        <w:br/>
        <w:t>пять детских садов на 1055 мест. В 2019 году завершено строительство детского сада на 40 мест в аг. Добрейка Шкловского района, проведена реконструкция яслей-сада в аг. Восход Могилевского района.</w:t>
      </w:r>
    </w:p>
    <w:p w:rsidR="009E65A8" w:rsidRPr="004B2FCB" w:rsidP="009E65A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Введены в эксплуатацию четыре средние школы по 1020 мест в микрорайонах «Комсомольский» г.Кричева, «Западный» г.Бобруйска, «Спутник» и «Казимировка» г.Могилева. Осуществлено строительство пристройки к средней школе № 1 г.Славгорода с реконструкцией существующей. </w:t>
      </w:r>
    </w:p>
    <w:p w:rsidR="009E65A8" w:rsidRPr="004B2FCB" w:rsidP="009E65A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В области принимаются меры по обеспечению доступности дошкольного образования. Возвращены в сеть дошкольного образования пять зданий и сооружений, эксплуатировавшихся не по назначению.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Всего за период с 2015 года 2019 год введено в эксплуатацию (реконструированы либо вновь построены) 25 крупных социально-значимых объектов различных сфер (здравоохранение, образование культура, спорт), финансирование которых осуществлялось за счет средств Инвестиционной программы Могилевской области, еще 9 объектов планируется ввести в эксплуатацию в 2020-2021годах.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 xml:space="preserve">В качестве ключевых задач социально-экономического развития Могилевской области на ближайшую пятилетку определены: 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поддержание внутренней сбалансированности экономики на основе соблюдения принципа повышения заработной платы в меру роста производительности труда;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обеспечение роста экспорта услуг темпами, опережающими экспорт товаров;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вовлечение малого и среднего бизнеса в сферу создания новых высокотехнологичных производств;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реструктуризация и финансовое оздоровление неплатежеспособных организаций;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рациональное размещение производительных сил в регионах, обеспечивающее сокращение межрегиональной дифференциации в уровне и качестве жизни населения, с учетом конкурентных преимуществ и накопленных территориальных компетенций;</w:t>
      </w:r>
    </w:p>
    <w:p w:rsidR="009E65A8" w:rsidRPr="004B2FCB" w:rsidP="009E65A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B2FCB">
        <w:rPr>
          <w:rFonts w:ascii="Times New Roman" w:hAnsi="Times New Roman"/>
          <w:sz w:val="30"/>
          <w:szCs w:val="30"/>
        </w:rPr>
        <w:t>развитие районов, отстающих по уровню социально-экономического развития, в том числе за счет модернизации существующих и создания новых предприятий и производств, стимулирования и поддержки предпринимательской активности местной инициативы.</w:t>
      </w:r>
    </w:p>
    <w:p w:rsidR="009E65A8" w:rsidP="009E65A8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9E65A8" w:rsidP="009E65A8">
      <w:pPr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9E65A8">
        <w:rPr>
          <w:rFonts w:ascii="Times New Roman" w:hAnsi="Times New Roman"/>
          <w:i/>
          <w:sz w:val="30"/>
          <w:szCs w:val="30"/>
        </w:rPr>
        <w:t xml:space="preserve">Материал подготовлен на основании информаций, </w:t>
      </w:r>
    </w:p>
    <w:p w:rsidR="009E65A8" w:rsidP="009E65A8">
      <w:pPr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9E65A8">
        <w:rPr>
          <w:rFonts w:ascii="Times New Roman" w:hAnsi="Times New Roman"/>
          <w:i/>
          <w:sz w:val="30"/>
          <w:szCs w:val="30"/>
        </w:rPr>
        <w:t>представленны</w:t>
      </w:r>
      <w:r>
        <w:rPr>
          <w:rFonts w:ascii="Times New Roman" w:hAnsi="Times New Roman"/>
          <w:i/>
          <w:sz w:val="30"/>
          <w:szCs w:val="30"/>
        </w:rPr>
        <w:t>х</w:t>
      </w:r>
      <w:r w:rsidRPr="009E65A8">
        <w:rPr>
          <w:rFonts w:ascii="Times New Roman" w:hAnsi="Times New Roman"/>
          <w:i/>
          <w:sz w:val="30"/>
          <w:szCs w:val="30"/>
        </w:rPr>
        <w:t xml:space="preserve"> структурными </w:t>
      </w:r>
    </w:p>
    <w:p w:rsidR="009E65A8" w:rsidRPr="009E65A8" w:rsidP="009E65A8">
      <w:pPr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9E65A8">
        <w:rPr>
          <w:rFonts w:ascii="Times New Roman" w:hAnsi="Times New Roman"/>
          <w:i/>
          <w:sz w:val="30"/>
          <w:szCs w:val="30"/>
        </w:rPr>
        <w:t>подразделениями облисполкома</w:t>
      </w:r>
    </w:p>
    <w:p w:rsidR="00160C3C" w:rsidRPr="001A7DBC" w:rsidP="009E65A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F2F5C" w:rsidP="001A7DBC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8F2F5C" w:rsidRPr="008F2F5C" w:rsidP="008F2F5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ПРАВИЛА СОБЛЮДАЕМ – ЖИЗНЬ СОХРАНЯЕМ!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Гибель людей на воде, к сожалению, остаётся актуальной из года в год. Особое место в этом занимает купальный сезон. На этот период приходится до 85%  погибших от удушения водой в течение года. Не стал исключением 2019 год – 56,6%.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Начало купального сезона 2020 года диктуют погодные условия. Официально оно  определенно - с 1 июня. К этой дате должны быть закончены работы по подготовке территории пляжа и пляжного оборудования. Спасательные станции и посты начинают работу в летнем режиме.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Но надо помнить, что каждый год с наступлением купального сезона на территории области возрастает число несчастных случаев на воде. В этот период на различных водоемах область теряет до 80% от числа погибших за год и до 95% детей.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Несмотря на климатические сложности купального сезона 2019 года, в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результате принятых мер число погибших от удушения водой удалось удержать в пределах 48 человек, в том числе 4 подростков.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Погибли в домашних ваннах – 5 человек, </w:t>
      </w:r>
      <w:r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ходе рыбалки и охоты - 8, 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совершили суицид - 3. Из 13 человек, погибших при купании 9 (69,2%) были в нетрезвом состоянии.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Основными причинами гибели людей на водах области явились: </w:t>
        <w:br/>
        <w:t>несоблюдение Правил охраны жизни людей на водах Республики Беларусь; купание в неохраняемых спасательной службой ОСВОД водоёмах; нахождение в состоянии алкогольного опьянения; оставление детей без присмотра.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С начала 2020 года по сегодняшний день, предположительно от удушения водой, в области погибли 11 человек. Из них 6 человек в ванной комнате, 1 провалился под лед, 4 оказались в воде помимо своей воли из-за несоблюдения правил поведения у воды.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bookmarkStart w:id="0" w:name="_GoBack"/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Каждый из купальных сезонов имеет свои особенности, но правила поведения на воде и у воды остаются неизменными.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bookmarkEnd w:id="0"/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Самый комфортный температурный режим для начала </w:t>
      </w:r>
      <w:r w:rsidRPr="008F2F5C" w:rsidR="00893905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купания,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когда температура воды составляет +18С, а воздуха свыше + 20С.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Резкий перепад температур между воздухом и водой опасен для купания. Вода, в отличие от воздуха, имеет свойство - постепенного прогревания. Резкий вход в воду при большой разнице температуры тела человека и воды, вызывает эффект «холодного душа</w:t>
      </w:r>
      <w:r w:rsidR="00893905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»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. Когда резко сокращаются мышцы, обжимаются кровеносные сосуды и внутренние органы. При этом возможна по</w:t>
      </w:r>
      <w:r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теря сознания, остановка сердца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i/>
          <w:color w:val="000000"/>
          <w:sz w:val="30"/>
          <w:szCs w:val="30"/>
          <w:shd w:val="clear" w:color="auto" w:fill="FFFFFF"/>
          <w:lang w:eastAsia="ru-RU"/>
        </w:rPr>
        <w:t>Справочно: В 2014 году в период с 20 мая по 8 июня во время резкого повышения температуры воздуха утонули 9 человек и 7 человек, погибшие по другим причинам, были обнаружены в воде.</w:t>
      </w:r>
    </w:p>
    <w:p w:rsidR="008F2F5C" w:rsidRPr="00893905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93905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Следовательно,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  <w:lang w:eastAsia="ru-RU"/>
        </w:rPr>
        <w:t>Правило 1-ое</w:t>
      </w: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: 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ab/>
        <w:t>Купание следует начинать в солнечную погоду при температуре воды 18-20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vertAlign w:val="superscript"/>
          <w:lang w:eastAsia="ru-RU"/>
        </w:rPr>
        <w:t>о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С, воздуха 20-25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vertAlign w:val="superscript"/>
          <w:lang w:eastAsia="ru-RU"/>
        </w:rPr>
        <w:t>о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С. Нельзя входить в воду, нырять в возбужденном, разгоряченном состоянии, после физической нагрузки, общем недомогании, ознобе, переохлаждении, которые представляют серьезную опасность купающимся.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Теплопроводность воды в четыре раза больше, чем воздуха.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Организм человека начинает переохлаждаться, если он длительное время находится в воде.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Необходимо: входить в воду постепенно, выравнивая температуру тела с температурой воды. Сначала выше колена далее выше пояса и присесть, а затем только плыть.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  <w:lang w:eastAsia="ru-RU"/>
        </w:rPr>
        <w:t>Правило 2-ое</w:t>
      </w: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: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Не умея плавать – нельзя заходить в воду выше пояса. При наличии течения не умеющим плавать вообще нельзя входить в воду, тем более учиться плавать в таких местах.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Нарушение этого правила, в сочетании с попаданием на яму, обрыв – всегда приводит к трагедии. Это касается и рыбаков, заходящих в воду для более дальнего заброса.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  <w:lang w:eastAsia="ru-RU"/>
        </w:rPr>
        <w:t>Правило 3-е:</w:t>
      </w: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Не купайтесь натощак и раньше 1,5 - 2 часа после еды.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Отдых у воды, как правило, связан с приемом пищи. В связи с этим изменяется порядок кровообращения. Задача организма в этот момент -  обеспечить переваривание пищи. В результате, в мышцы рук и ног поступает меньше крови, а с ней - кислорода. Они становятся вялыми, не способными к физическим нагрузкам. Находиться в воде, тем более плыть, в это время – опасно!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  <w:lang w:eastAsia="ru-RU"/>
        </w:rPr>
        <w:t>Правило 4-ое</w:t>
      </w: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: 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При заплывах умейте правильно рассчитывать свои силы. Во время купания не доводите себя до озноба. Помните, что длительное пребывание в воде может привести к судорожному сокращению мышц и другим негативным влияниям.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Особенно это актуально в начале купального сезона. Любой человек, даже физически подготовленный, не занимаясь плаванием в течение 8 месяцев, не гарантирован от трагедии на открытом водоеме. Нужно постепенно набирать физическую форму.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u w:val="single"/>
          <w:shd w:val="clear" w:color="auto" w:fill="FFFFFF"/>
          <w:lang w:eastAsia="ru-RU"/>
        </w:rPr>
        <w:t xml:space="preserve">Правило 5-ое: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Вода не любит паники! Чтобы с Вами не произошло на воде – не пугайтесь. Выбирайте для купания безопасные, а лучше специально                                        отведенные для этого места.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Теоретически, человек, умеющий плавать, а, следовательно – держаться на воде, утонуть не может!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ПОМНИТЕ! 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Попав на сильное течение, не плывите против него, не тратьте силы, а используйте течение, чтобы приблизиться к берегу.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Оказавшись в водовороте, наберите больше воздуха в легкие, погрузитесь в воду и, сделав рывок в сторону по течению, всплывайте на поверхность. 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При судорогах -  измените, способ плавания с целью уменьшения нагрузки на сведенные мышцы, ускоряя их расслабление, и плавно плывите к берегу. В случае судороги мышц голеностопа - подтяните ногу, а затем пальцы стопы потяните на себя. Возможно, это придется сделать несколько раз. Но Вы должны помнить о том, что Вы умеете держаться на воде.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Если Вы заплыли далеко или почувствовали усталость – отдохните на воде. Меняя  стиль плавания и, отдохнув, возвращайтесь к берегу.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Если Вы попали на участок с водорослями и запутались – не делайте резких движений, а лежа на спине плавными, тихими  движениями,  с помощью рук освободитесь от них, и плывите обратно тем же путем.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Вы должны помнить о том, что Вы умеете держаться на воде.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Гибель человека – трагедия. Гибель ребенка – трагедия вдвойне. В последние годы гибель детей от удушения водой сократилась. Но она имеет место. Виной тому чаще всего является недосмотр взрослых: появление детей у водоемов без взрослых; небрежное отношение к правилам поведения на воде; отсутствие на детях индивидуальных средств спасения (жилетов, нарукавников, манишек).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Для ребенка гибель на воде – миг. Поэтому, если рядом на вашей даче, дворе есть любая емкость с водой - не оставляйте детей без внимания!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При отдыхе на водоемах ЗАПРЕЩАЕТСЯ</w:t>
      </w: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: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заплывать за знаки ограждения и предупреждающие знаки;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купаться и нырять в запрещенных и неизвестных местах;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прыгать в воду с дамб, пристаней, катеров, лодок, плотов, подплывать близко к идущим судам;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допускать шалости, связанные с нырянием и захватом конечностей купающихся, взбираться на буи и другие технические сооружения;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подавать ложные сигналы бедствия;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перемещаться в лодке с места на место при катании;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использовать для плавания доски, бревна, надувные матрасы, камеры автомашин и другие вспомогательные средства;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загрязнять и засорять водоемы;</w:t>
      </w:r>
    </w:p>
    <w:p w:rsidR="008F2F5C" w:rsidRPr="008F2F5C" w:rsidP="008F2F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купаться в состоянии алкогольного опьянения.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Алкоголь и отдых на водоеме – вещи не совместимые! В 2018 году на водоемах области при купании погибли 16 человек, из них </w:t>
        <w:br/>
        <w:t>12 (75%) были в нетрезвом состоянии.</w:t>
      </w:r>
    </w:p>
    <w:p w:rsidR="008F2F5C" w:rsidRP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  <w:t>Вода не прощает беспечности, тем более пренебрежения опасностью.</w:t>
        <w:tab/>
        <w:tab/>
        <w:tab/>
        <w:tab/>
      </w:r>
    </w:p>
    <w:p w:rsidR="008F2F5C" w:rsidRPr="008F2F5C" w:rsidP="008F2F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i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ab/>
        <w:tab/>
        <w:tab/>
        <w:tab/>
        <w:tab/>
        <w:tab/>
        <w:tab/>
      </w:r>
      <w:r w:rsidRPr="008F2F5C">
        <w:rPr>
          <w:rFonts w:ascii="Times New Roman" w:eastAsia="Times New Roman" w:hAnsi="Times New Roman"/>
          <w:bCs/>
          <w:i/>
          <w:color w:val="000000"/>
          <w:sz w:val="30"/>
          <w:szCs w:val="30"/>
          <w:shd w:val="clear" w:color="auto" w:fill="FFFFFF"/>
          <w:lang w:eastAsia="ru-RU"/>
        </w:rPr>
        <w:t>Могилевская областная</w:t>
      </w:r>
    </w:p>
    <w:p w:rsidR="008F2F5C" w:rsidRPr="008F2F5C" w:rsidP="008F2F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i/>
          <w:color w:val="000000"/>
          <w:sz w:val="30"/>
          <w:szCs w:val="30"/>
          <w:shd w:val="clear" w:color="auto" w:fill="FFFFFF"/>
          <w:lang w:eastAsia="ru-RU"/>
        </w:rPr>
      </w:pPr>
      <w:r w:rsidRPr="008F2F5C">
        <w:rPr>
          <w:rFonts w:ascii="Times New Roman" w:eastAsia="Times New Roman" w:hAnsi="Times New Roman"/>
          <w:bCs/>
          <w:i/>
          <w:color w:val="000000"/>
          <w:sz w:val="30"/>
          <w:szCs w:val="30"/>
          <w:shd w:val="clear" w:color="auto" w:fill="FFFFFF"/>
          <w:lang w:eastAsia="ru-RU"/>
        </w:rPr>
        <w:tab/>
        <w:tab/>
        <w:tab/>
        <w:tab/>
        <w:tab/>
        <w:tab/>
        <w:tab/>
        <w:t>организация РГОО ОСВОД</w:t>
      </w:r>
    </w:p>
    <w:p w:rsidR="008F2F5C" w:rsidRPr="008F2F5C" w:rsidP="008F2F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8F2F5C" w:rsidP="001A7DBC">
      <w:pPr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8F2F5C" w:rsidP="008F2F5C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«О СОСТОЯНИИ ТРАВМАТИЗМА В ЭНЕРГОУСТАНОВКАХ ПОТРЕБИТЕЛЕЙ МОГИЛЕВСКОЙ ОБЛАСТИ ЗА 2019 ГОД И МЕРАХ ПО ЕГО ПРЕДОТВРАЩЕНИЮ В 2020 ГОДУ»</w:t>
      </w:r>
    </w:p>
    <w:p w:rsidR="008F2F5C" w:rsidRPr="00A523D1" w:rsidP="008F2F5C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В 2019 году в Республике Беларусь произошел 21 несчастный случай от поражения электрическим током с персоналом потребителей и среди населения на объектах, поднадзорных органу Госэнергогазнадзора. В 2018 году таких несчастных случаев было 24. При этом в 2019 году пострадало 22 человека (в 2018 году – 24), из них 14 человек погибло (в 2018 году – 12), 8 получили травмы различной степени тяжести (в 2018 году – 12).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В 2019 году в целом по республике уровень электротравматизма на производстве по сравнению с 2018 годом остался на прежнем уровне. Произошло 11 несчастных случаев (в 2018 - 11), из которых 6 - со смертельным исходом (в 2018 - 3) и 5 - с тяжелым исходом (в 2017 - 8).</w:t>
        <w:br/>
        <w:t>В Могилевской области в 2019 году было зарегистрировано 4 несчастных случая от поражения электрическим током на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производстве, в 2018 году – 3.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30 июля 2019 года на территории воинской части н.п. Большая Горожа Осиповичского района произошел несчастный случай с тяжелым исходом с подсобным рабочим по договору подряда общества с ограниченной ответственностью «ТеслаПром».</w:t>
        <w:br/>
        <w:t>При выполнении работ на объекте строительства при осуществлении подготовительных работ по монтажу электрического шкафа ЯБПВУ-1м на наружной стене здания кладовой для хранения горюче-смазочных и лакокрасочных материалов подсобный рабочий ООО «ТеслаПром» коснулся жил кабеля, предварительно проложенного для электроснабжения вышеуказанного шкафа, в результа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те чего получил электротравму. 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Потерпевший был доставлен в УЗ «Осиповичская центральная районная больница», где был установлен диагноз: «электротравма от дуги 380 В. Электроожог н/з левого предплечья III Б степени».</w:t>
        <w:br/>
        <w:t>Кабель был проложен от вводного устройства, подключен к верхним контактам рубильника ВР-32 (250А) в водном устройстве и оказался под напряжением вследствие временного подключения вновь смонтированных электроустановок цеха к электрической сети для проведения пусконаладочных работ. Основными причинами несчастного случая явились: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- самовольное присоединение вновь смонтированных участков электроустановок к действующим электроустановкам персоналом сторонней (не эксплуатирующей) организации без соблюдения организационных и технических мероприятий, обеспечивающих безопасное проведение работ;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- производство переключений в электрических схемах подстанций и щитов персоналом, который непосредственно не обслуживает данные электроустановки;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- отсутствие контроля со стороны эксплуатирующей организации за выполнением требований по охране труда, обеспечивающих защиту персонала сторонней организации от поражения электрическим током и наведенного напряжения, за правильностью допуска персонала строительно-монтажных и специализированных организаций к работам в действующих электроустановках;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- отсутствие порядка хранения и выд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ачи ключей от электропомещений.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23 августа 2019 года в Белыничском районе в агрогородке Вишов произошел несчастный случай со смертельным исходом с трактористом-машинистом СПК «Колхоз Родина», который единолично проводил обслуживание зерноуборочного комбайна под воздушной линией электропередачи напряжением 10 000 В (д</w:t>
      </w:r>
      <w:r w:rsidR="00A235FA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 xml:space="preserve">лее </w:t>
      </w:r>
      <w:r w:rsidR="00A235FA"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 xml:space="preserve">ВЛ) и был обнаружен заведующим мастерскими без признаков жизни. Приехавшая бригада скорой медицинской помощи констатировала смерть. С двух сторон кабины зерноуборочного комбайна были установлены предупреждающие знаки по соблюдению техники безопасности при работе в охранных зонах ВЛ. С механизаторами СПК «Колхоз Родина» был проведен инструктаж «Об обеспечении безопасных работ в охранных зонах ВЛ». 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b/>
          <w:sz w:val="30"/>
          <w:szCs w:val="30"/>
          <w:lang w:eastAsia="ru-RU"/>
        </w:rPr>
        <w:t>Основной причиной несчастного случая явилось</w:t>
      </w: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 xml:space="preserve"> нарушение потерпевшим требований локальных нормативных правовых актов по охране труда, выразившиеся в остановке комбайна «Полесье GS 12 А1» под ВЛ и последующее совершение действий на его крыше.</w:t>
        <w:br/>
        <w:t>3 сентября 2019 года произошел несчастный случай с тяжелым исходом на территории открытого акционерного общества «Белшина» г.Бобруйск, электромонтером охранно-пожарных сигнализаций общества с дополнительной ответственностью «БрандСтройПроект», г.Могилев.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03.09.2019 потерпевший, работая на высоте, выполнял работы по укладке оптико-волоконного кабеля на технологической вставке в сборочном цеху завода крупногабаритных шин ОАО «Белшина» по договору субподряда. Работая с приставной лестницы возле магистрального шинопровода 32ШМ-1 встал на него. В результате продавливания кожуха шинопровода под собственным весом потерпевшего произошло короткое замыкание, и образовавшейся электрической дугой он получил термический ожог нижней части левой ноги. Члены бригады совместно с медработником медпункта ОАО «Белшина» оказали первую медицинскую помощь пострадавшему и на автомобиле медпункта доставили его в больницу.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Работы по укладке оптико-волоконного кабеля проводились без оформления наряда на проведение работ повышенной опасности. Вводный инструктаж с потерпевшим на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ОАО «Белшина» проведен не был.</w:t>
      </w:r>
    </w:p>
    <w:p w:rsidR="00A235FA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 w:rsidR="008F2F5C">
        <w:rPr>
          <w:rFonts w:ascii="Times New Roman" w:eastAsia="Times New Roman" w:hAnsi="Times New Roman"/>
          <w:b/>
          <w:sz w:val="30"/>
          <w:szCs w:val="30"/>
          <w:lang w:eastAsia="ru-RU"/>
        </w:rPr>
        <w:t>Основными причинами несчастного случая явились</w:t>
      </w:r>
      <w:r w:rsidRPr="00A523D1" w:rsidR="008F2F5C">
        <w:rPr>
          <w:rFonts w:ascii="Times New Roman" w:eastAsia="Times New Roman" w:hAnsi="Times New Roman"/>
          <w:sz w:val="30"/>
          <w:szCs w:val="30"/>
          <w:lang w:eastAsia="ru-RU"/>
        </w:rPr>
        <w:t xml:space="preserve"> нарушения Межотраслевых общих правил по охране труда, Правил по охране труда при выполнении строительных работ,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договора подряда (субподряда).</w:t>
      </w:r>
    </w:p>
    <w:p w:rsidR="00A235FA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 w:rsidR="008F2F5C">
        <w:rPr>
          <w:rFonts w:ascii="Times New Roman" w:eastAsia="Times New Roman" w:hAnsi="Times New Roman"/>
          <w:sz w:val="30"/>
          <w:szCs w:val="30"/>
          <w:lang w:eastAsia="ru-RU"/>
        </w:rPr>
        <w:t>7 октября 2019 года произошел несчастный случай с электромонтером по ремонту и обслуживанию электрооборудования 3-го разряда энергосилового цеха №9 ОАО «Мо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гилевский завод «Строммашина»».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07.10.2019 потерпевший получил устное задание по подключению удлинителя в шкафу управления ванной хрома на гальваническом участке цеха товаров народного потребления от руководителя стажировки электромонтера по ремонту и обслуживанию электрооборудования 6-го разряда энергосилового цеха. Подготовка рабочего места не проводилась (не было снято напряжение с токоведущих частей автоматического выключателя 0,4 кВ, к которым подключался удлинитель, не проверено отсутствие напряжения после отключения в точке присоединения удлинителя). При подключении удлинителя потерпевший снял крышку автоматического выключателя 0,4 кВ типа АП-50 и в момент присоединения проводника удлинителя к нижним клеммам не</w:t>
      </w:r>
      <w:r w:rsidR="00A235F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отключенного автоматического выключателя произошло короткое замыкание между двумя фазами. В результате возникшей электрической дуги потерпевший получил повреждение левого глаза (ожог роговицы).</w:t>
      </w:r>
    </w:p>
    <w:p w:rsidR="008F2F5C" w:rsidRPr="00F2284A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b/>
          <w:sz w:val="30"/>
          <w:szCs w:val="30"/>
          <w:lang w:eastAsia="ru-RU"/>
        </w:rPr>
        <w:t>Основными причин</w:t>
      </w:r>
      <w:r w:rsidRPr="00F2284A">
        <w:rPr>
          <w:rFonts w:ascii="Times New Roman" w:eastAsia="Times New Roman" w:hAnsi="Times New Roman"/>
          <w:b/>
          <w:sz w:val="30"/>
          <w:szCs w:val="30"/>
          <w:lang w:eastAsia="ru-RU"/>
        </w:rPr>
        <w:t>ами несчастного случая явились: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выполнение потерпевшим работ по подключению удлинителя без снятия напряжения, без проверки отсутствия напряжения на токоведущих частях;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выполнение работ потерпевшим, не имеющим группы по электробезопасности, по подключению удлинителя без получения разрешения уполномоченного на это лица (ответственного за электрохозяйство, мастера или административно-технических раб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отников, имеющих на это право);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выдача задания руководителем стажировки пострадавшему по подключению удлинителя в шкафу управления ванной хрома без подготовки рабочего места (не снято напряжение с токоведущих частей автоматического выключателя 0,4 кВ, к которым должен был подключаться удлинитель, без проверки отсутствия напряжения после отключения в 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очке присоединения удлинителя);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отсутствие контроля за действиями подчиненного персонала со стороны мастера участка по ремонту и обслуживанию электрооборудования энергосилового цеха, невыдача задания на выполнение работ повышенной опасности и непроведение инс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труктажа по безопасности труда.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 xml:space="preserve">Анализ обстоятельств и причин несчастных случаев по республике, связанных с поражением электрическим током, показывает, что причинами электротравматизма являются, как правило, невыполнение персоналом потребителей требований НПА и ТНПА, устанавливающих правила устройства, технической эксплуатации и техники безопасности при эксплуатации электроустановок, в том числе: невыполнение организационных мероприятий; невыполнение технических мероприятий; нарушения Правил охраны электрических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сетей напряжением свыше 1000 В.</w:t>
      </w:r>
    </w:p>
    <w:p w:rsidR="008F2F5C" w:rsidP="008F2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523D1">
        <w:rPr>
          <w:rFonts w:ascii="Times New Roman" w:eastAsia="Times New Roman" w:hAnsi="Times New Roman"/>
          <w:sz w:val="30"/>
          <w:szCs w:val="30"/>
          <w:lang w:eastAsia="ru-RU"/>
        </w:rPr>
        <w:t>Кроме того, в числе причин – формальное проведение инструктажей, проведение работ без применения электрозащитных средств, слабый контроль со стороны работников, ответственных за безопасность производства работ в действующих электроустановках, а также самовольные действия пострадавших, выполнение работ в состоянии алкогольного опьянения, личная неосторожность пострадавших и низк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ая производственная дисциплина.</w:t>
      </w:r>
    </w:p>
    <w:p w:rsidR="008F2F5C" w:rsidP="008F2F5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F2F5C" w:rsidP="008F2F5C">
      <w:pPr>
        <w:spacing w:after="0" w:line="240" w:lineRule="auto"/>
        <w:jc w:val="right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8B6DA9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Филиал Госэнергогазнадзора </w:t>
      </w:r>
    </w:p>
    <w:p w:rsidR="008F2F5C" w:rsidRPr="008B6DA9" w:rsidP="008F2F5C">
      <w:pPr>
        <w:spacing w:after="0" w:line="240" w:lineRule="auto"/>
        <w:jc w:val="right"/>
        <w:rPr>
          <w:i/>
          <w:sz w:val="30"/>
          <w:szCs w:val="30"/>
        </w:rPr>
      </w:pPr>
      <w:r w:rsidRPr="008B6DA9">
        <w:rPr>
          <w:rFonts w:ascii="Times New Roman" w:eastAsia="Times New Roman" w:hAnsi="Times New Roman"/>
          <w:i/>
          <w:sz w:val="30"/>
          <w:szCs w:val="30"/>
          <w:lang w:eastAsia="ru-RU"/>
        </w:rPr>
        <w:t>по Могилевской области</w:t>
      </w: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b/>
          <w:sz w:val="30"/>
          <w:szCs w:val="30"/>
        </w:rPr>
      </w:pPr>
      <w:r w:rsidRPr="00320744">
        <w:rPr>
          <w:rFonts w:ascii="Times New Roman" w:hAnsi="Times New Roman"/>
          <w:b/>
          <w:sz w:val="30"/>
          <w:szCs w:val="30"/>
        </w:rPr>
        <w:t>Приложение «Погода в кармане» – официальное мобильное приложение</w:t>
      </w:r>
      <w:r w:rsidRPr="00320744">
        <w:rPr>
          <w:sz w:val="30"/>
          <w:szCs w:val="30"/>
        </w:rPr>
        <w:t xml:space="preserve"> </w:t>
      </w:r>
      <w:r w:rsidRPr="00320744">
        <w:rPr>
          <w:rFonts w:ascii="Times New Roman" w:hAnsi="Times New Roman"/>
          <w:b/>
          <w:sz w:val="30"/>
          <w:szCs w:val="30"/>
        </w:rPr>
        <w:t>Белгидромет для определения погодных условий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5" type="#_x0000_t75" style="width:116.65pt;height:116.4pt;margin-top:0.3pt;margin-left:-0.3pt;position:absolute;visibility:visible;z-index:251658240" filled="f" stroked="f">
            <v:imagedata r:id="rId5" o:title=""/>
            <o:lock v:ext="edit" aspectratio="t"/>
            <w10:wrap type="square"/>
          </v:shape>
        </w:pict>
      </w:r>
      <w:r w:rsidRPr="00320744">
        <w:rPr>
          <w:rFonts w:ascii="Times New Roman" w:hAnsi="Times New Roman"/>
          <w:sz w:val="30"/>
          <w:szCs w:val="30"/>
        </w:rPr>
        <w:t xml:space="preserve">Белгидромет – основной производитель и поставщик официальной гидрометеорологической информации в стране, поэтому его информационные ресурсы пользуются популярностью и доверием населения Беларуси (сайт pogoda.by). С 2018 года функционирует мобильное приложение «Погода в кармане». 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b/>
          <w:sz w:val="30"/>
          <w:szCs w:val="30"/>
        </w:rPr>
        <w:t>Пользователь мобильного приложения «Погода в кармане» может получить достоверную информацию о фактической погоде, гидрологической, агрометеорологической и радиационно-экологической обстановке в населенных пунктах Республики Беларусь.</w:t>
      </w:r>
      <w:r w:rsidRPr="00320744">
        <w:rPr>
          <w:rFonts w:ascii="Times New Roman" w:hAnsi="Times New Roman"/>
          <w:sz w:val="30"/>
          <w:szCs w:val="30"/>
        </w:rPr>
        <w:t xml:space="preserve"> 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 xml:space="preserve">Пользователям мобильного приложения </w:t>
      </w:r>
      <w:r w:rsidRPr="00320744">
        <w:rPr>
          <w:rFonts w:ascii="Times New Roman" w:hAnsi="Times New Roman"/>
          <w:b/>
          <w:sz w:val="30"/>
          <w:szCs w:val="30"/>
        </w:rPr>
        <w:t>в online режиме</w:t>
      </w:r>
      <w:r w:rsidRPr="00320744">
        <w:rPr>
          <w:rFonts w:ascii="Times New Roman" w:hAnsi="Times New Roman"/>
          <w:sz w:val="30"/>
          <w:szCs w:val="30"/>
        </w:rPr>
        <w:t xml:space="preserve"> представляются штормовые предупреждения, выпускаемые дежурной сменой синоптиков, а также информация об опасных и неблагоприятных метеорологических явлениях по мере их возникновения.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 xml:space="preserve">В мобильном приложении «Погода в кармане» при выборе населенного пункта и типа информации отображаются гидрометеорологические и радиационно-экологические данные ближайшего пункта наблюдений. 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>Существует возможность просмотра почасового прогноза, прогноза на каждые 6 часов и на сутки. В разделе «Экология» можно ознакомиться с содержанием в атмосферном воздухе загрязняющих веществ, с гидробиологическим и гидрохимическим статусом водных объектов, с температурой и изменением уровней воды в ближайших к пользователю водных объектах, а также можно определить ближайший населенный пункт, который относится к зоне проживания с периодическим радиационным контролем и т.п.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 xml:space="preserve">Для удобства в приложении предусмотрена возможность выбора профиля с определенным набором данных, которые подходят для конкретного пользователя – </w:t>
      </w:r>
      <w:r w:rsidRPr="00320744">
        <w:rPr>
          <w:rFonts w:ascii="Times New Roman" w:hAnsi="Times New Roman"/>
          <w:b/>
          <w:sz w:val="30"/>
          <w:szCs w:val="30"/>
        </w:rPr>
        <w:t>автомобилист, дачник, рыбак, турист, эколог</w:t>
      </w:r>
      <w:r w:rsidRPr="00320744">
        <w:rPr>
          <w:rFonts w:ascii="Times New Roman" w:hAnsi="Times New Roman"/>
          <w:sz w:val="30"/>
          <w:szCs w:val="30"/>
        </w:rPr>
        <w:t>.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 xml:space="preserve">По рейтингу газеты «АиФ в Беларуси» мобильное приложение «Погода в кармане» вошло в топ-6 приложений, необходимых для пенсионера («Аргументы и факты в Беларуси» № 50 от 10.12.2019). На постоянной основе осуществляется взаимодействие с пользователями мобильного приложения и анализ полученных предложений. Мобильное приложение постоянно совершенствуется по замечаниям и предложениям пользователей. 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 xml:space="preserve">Белгидромет будет рад видеть Вас пользователем нашего мобильного приложения «Погода в кармане». Ваши предложения по дальнейшему развитию Вы можете направлять на почту </w:t>
      </w:r>
      <w:hyperlink r:id="rId6" w:history="1">
        <w:r w:rsidRPr="00320744">
          <w:rPr>
            <w:rStyle w:val="Hyperlink"/>
            <w:rFonts w:ascii="Times New Roman" w:hAnsi="Times New Roman"/>
            <w:sz w:val="30"/>
            <w:szCs w:val="30"/>
          </w:rPr>
          <w:t>belhydromet@gmail.com</w:t>
        </w:r>
      </w:hyperlink>
      <w:r w:rsidRPr="00320744">
        <w:rPr>
          <w:rFonts w:ascii="Times New Roman" w:hAnsi="Times New Roman"/>
          <w:sz w:val="30"/>
          <w:szCs w:val="30"/>
        </w:rPr>
        <w:t>.</w:t>
      </w:r>
    </w:p>
    <w:p w:rsidR="00830C62" w:rsidRPr="00320744" w:rsidP="00830C62">
      <w:pPr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>Установить наше мобильное приложение можно указав поисковый запрос «Погода в кармане» в Google Play Market и Huawei AppGallery или отсканировав QR-код своим мобильным устройством.</w:t>
      </w:r>
    </w:p>
    <w:p w:rsidR="00830C62" w:rsidRPr="00320744" w:rsidP="00830C6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0744">
        <w:rPr>
          <w:rFonts w:ascii="Times New Roman" w:hAnsi="Times New Roman"/>
          <w:sz w:val="30"/>
          <w:szCs w:val="30"/>
        </w:rPr>
        <w:t xml:space="preserve">     </w:t>
      </w:r>
      <w:r>
        <w:rPr>
          <w:noProof/>
          <w:sz w:val="30"/>
          <w:szCs w:val="30"/>
          <w:lang w:val="be-BY" w:eastAsia="be-BY"/>
        </w:rPr>
        <w:pict>
          <v:shape id="Рисунок 2" o:spid="_x0000_i1026" type="#_x0000_t75" style="width:127.46pt;height:127.46pt;visibility:visible" filled="f" stroked="f">
            <v:imagedata r:id="rId7" o:title=""/>
            <o:lock v:ext="edit" aspectratio="t"/>
          </v:shape>
        </w:pict>
      </w:r>
      <w:r w:rsidRPr="00320744">
        <w:rPr>
          <w:rFonts w:ascii="Times New Roman" w:hAnsi="Times New Roman"/>
          <w:sz w:val="30"/>
          <w:szCs w:val="30"/>
        </w:rPr>
        <w:t xml:space="preserve">                                                  </w:t>
      </w:r>
      <w:r>
        <w:rPr>
          <w:noProof/>
          <w:sz w:val="30"/>
          <w:szCs w:val="30"/>
          <w:lang w:val="be-BY" w:eastAsia="be-BY"/>
        </w:rPr>
        <w:pict>
          <v:shape id="Рисунок 3" o:spid="_x0000_i1027" type="#_x0000_t75" style="width:124.47pt;height:124.47pt;visibility:visible" filled="f" stroked="f">
            <v:imagedata r:id="rId8" o:title=""/>
            <o:lock v:ext="edit" aspectratio="t"/>
          </v:shape>
        </w:pict>
      </w:r>
    </w:p>
    <w:p w:rsidR="00830C62" w:rsidRPr="00320744" w:rsidP="00830C6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en-US"/>
        </w:rPr>
      </w:pPr>
      <w:r w:rsidRPr="00320744">
        <w:rPr>
          <w:rFonts w:ascii="Times New Roman" w:hAnsi="Times New Roman"/>
          <w:sz w:val="30"/>
          <w:szCs w:val="30"/>
        </w:rPr>
        <w:t xml:space="preserve">  </w:t>
      </w:r>
      <w:r w:rsidRPr="00320744">
        <w:rPr>
          <w:rFonts w:ascii="Times New Roman" w:hAnsi="Times New Roman"/>
          <w:sz w:val="30"/>
          <w:szCs w:val="30"/>
          <w:lang w:val="en-US"/>
        </w:rPr>
        <w:t>QR-</w:t>
      </w:r>
      <w:r w:rsidRPr="00320744">
        <w:rPr>
          <w:rFonts w:ascii="Times New Roman" w:hAnsi="Times New Roman"/>
          <w:sz w:val="30"/>
          <w:szCs w:val="30"/>
        </w:rPr>
        <w:t>код</w:t>
      </w:r>
      <w:r w:rsidRPr="00320744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320744">
        <w:rPr>
          <w:rFonts w:ascii="Times New Roman" w:hAnsi="Times New Roman"/>
          <w:sz w:val="30"/>
          <w:szCs w:val="30"/>
        </w:rPr>
        <w:t>для</w:t>
      </w:r>
      <w:r w:rsidRPr="00320744">
        <w:rPr>
          <w:rFonts w:ascii="Times New Roman" w:hAnsi="Times New Roman"/>
          <w:sz w:val="30"/>
          <w:szCs w:val="30"/>
          <w:lang w:val="en-US"/>
        </w:rPr>
        <w:t xml:space="preserve"> Google Play Market                      QR-</w:t>
      </w:r>
      <w:r w:rsidRPr="00320744">
        <w:rPr>
          <w:rFonts w:ascii="Times New Roman" w:hAnsi="Times New Roman"/>
          <w:sz w:val="30"/>
          <w:szCs w:val="30"/>
        </w:rPr>
        <w:t>код</w:t>
      </w:r>
      <w:r w:rsidRPr="00320744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320744">
        <w:rPr>
          <w:rFonts w:ascii="Times New Roman" w:hAnsi="Times New Roman"/>
          <w:sz w:val="30"/>
          <w:szCs w:val="30"/>
        </w:rPr>
        <w:t>для</w:t>
      </w:r>
      <w:r w:rsidRPr="00320744">
        <w:rPr>
          <w:rFonts w:ascii="Times New Roman" w:hAnsi="Times New Roman"/>
          <w:sz w:val="30"/>
          <w:szCs w:val="30"/>
          <w:lang w:val="en-US"/>
        </w:rPr>
        <w:t xml:space="preserve"> Huawei AppGallery</w:t>
      </w:r>
    </w:p>
    <w:p w:rsidR="00830C62" w:rsidRPr="00830C62" w:rsidP="00830C62">
      <w:pPr>
        <w:spacing w:after="0" w:line="240" w:lineRule="auto"/>
        <w:ind w:left="62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2F5C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30C62" w:rsidP="00830C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57236">
        <w:rPr>
          <w:rFonts w:ascii="Times New Roman" w:hAnsi="Times New Roman"/>
          <w:b/>
          <w:sz w:val="30"/>
          <w:szCs w:val="30"/>
        </w:rPr>
        <w:t>Детский травматизм</w:t>
      </w:r>
    </w:p>
    <w:p w:rsidR="00830C62" w:rsidRPr="00A57236" w:rsidP="00830C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noProof/>
        </w:rPr>
        <w:pict>
          <v:shape id="_x0000_s1028" type="#_x0000_t75" style="width:175.3pt;height:177.65pt;margin-top:12.65pt;margin-left:-5.65pt;position:absolute;z-index:-251657216" wrapcoords="-92 0 -92 21509 21600 21509 21600 0 -92 0" stroked="f">
            <v:imagedata r:id="rId9" o:title="логотип НеОДО" croptop="1426f" cropleft="14793f" cropright="15121f"/>
            <w10:wrap type="tight"/>
          </v:shape>
        </w:pict>
      </w:r>
    </w:p>
    <w:p w:rsidR="00830C62" w:rsidP="00830C6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262626"/>
          <w:sz w:val="30"/>
          <w:szCs w:val="30"/>
        </w:rPr>
      </w:pPr>
      <w:r w:rsidRPr="00A57236">
        <w:rPr>
          <w:rFonts w:ascii="Times New Roman" w:hAnsi="Times New Roman"/>
          <w:bCs/>
          <w:color w:val="262626"/>
          <w:sz w:val="30"/>
          <w:szCs w:val="30"/>
        </w:rPr>
        <w:t>С 11 мая по 1 июня проходит Республиканская акция МЧС</w:t>
        <w:br/>
        <w:t>«Не оставляйте детей одних», направленная на предупреждение травматизма и гибели детей от различных факторов.</w:t>
      </w:r>
    </w:p>
    <w:p w:rsidR="00830C62" w:rsidRPr="00A57236" w:rsidP="00830C62">
      <w:pPr>
        <w:spacing w:after="0" w:line="240" w:lineRule="auto"/>
        <w:jc w:val="center"/>
        <w:rPr>
          <w:rFonts w:ascii="Times New Roman" w:hAnsi="Times New Roman"/>
          <w:bCs/>
          <w:color w:val="262626"/>
          <w:sz w:val="30"/>
          <w:szCs w:val="30"/>
        </w:rPr>
      </w:pPr>
    </w:p>
    <w:p w:rsidR="00830C62" w:rsidRPr="00A57236" w:rsidP="00830C6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57236">
        <w:rPr>
          <w:rFonts w:ascii="Times New Roman" w:hAnsi="Times New Roman"/>
          <w:sz w:val="30"/>
          <w:szCs w:val="30"/>
        </w:rPr>
        <w:t xml:space="preserve">Детский травматизм – одна из серьёзных социальных проблем, которая не только угрожает жизни и здоровью детей, но влечёт и проблемы для родителей. </w:t>
      </w:r>
      <w:r w:rsidRPr="00A57236">
        <w:rPr>
          <w:rFonts w:ascii="Times New Roman" w:eastAsia="Times New Roman" w:hAnsi="Times New Roman"/>
          <w:sz w:val="30"/>
          <w:szCs w:val="30"/>
        </w:rPr>
        <w:t xml:space="preserve">Несмотря на большое разнообразие травм у детей, причины, вызывающие их, типичны. Прежде всего, это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  <w:r w:rsidRPr="00A57236">
        <w:rPr>
          <w:rFonts w:ascii="Times New Roman" w:hAnsi="Times New Roman"/>
          <w:sz w:val="30"/>
          <w:szCs w:val="30"/>
        </w:rPr>
        <w:t xml:space="preserve">Поэтому одна из основных задач родителей – предупреждение детского травматизма. </w:t>
      </w:r>
      <w:r w:rsidRPr="00A57236">
        <w:rPr>
          <w:rFonts w:ascii="Times New Roman" w:eastAsia="Times New Roman" w:hAnsi="Times New Roman"/>
          <w:sz w:val="30"/>
          <w:szCs w:val="30"/>
        </w:rPr>
        <w:t xml:space="preserve">Чаще травмы возникают дома. </w:t>
      </w:r>
      <w:r w:rsidRPr="00A57236">
        <w:rPr>
          <w:rFonts w:ascii="Times New Roman" w:hAnsi="Times New Roman"/>
          <w:sz w:val="30"/>
          <w:szCs w:val="30"/>
        </w:rPr>
        <w:t>Особенно в период школьных каникул, когда дети больше располагают свободным временем и остаются без присмотра взрослых.</w:t>
      </w:r>
      <w:r w:rsidRPr="00A57236">
        <w:rPr>
          <w:rFonts w:ascii="Times New Roman" w:eastAsia="Times New Roman" w:hAnsi="Times New Roman"/>
          <w:sz w:val="30"/>
          <w:szCs w:val="30"/>
        </w:rPr>
        <w:t xml:space="preserve"> Реже встречаются травмы, связанные с городским транспортом, со случаями в школе, во время занятий спортом, утопления и отравления.</w:t>
      </w:r>
    </w:p>
    <w:p w:rsidR="00830C62" w:rsidRPr="00A57236" w:rsidP="00830C6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57236">
        <w:rPr>
          <w:rFonts w:ascii="Times New Roman" w:eastAsia="Times New Roman" w:hAnsi="Times New Roman"/>
          <w:sz w:val="30"/>
          <w:szCs w:val="30"/>
        </w:rPr>
        <w:t xml:space="preserve">Цифры статистики </w:t>
      </w:r>
      <w:r w:rsidRPr="00A57236">
        <w:rPr>
          <w:rFonts w:ascii="Times New Roman" w:hAnsi="Times New Roman"/>
          <w:sz w:val="30"/>
          <w:szCs w:val="30"/>
        </w:rPr>
        <w:t xml:space="preserve">детского травматизма не могут оставить равнодушным ни одного взрослого человека: </w:t>
      </w:r>
      <w:r w:rsidRPr="00A57236">
        <w:rPr>
          <w:rFonts w:ascii="Times New Roman" w:eastAsia="Times New Roman" w:hAnsi="Times New Roman"/>
          <w:sz w:val="30"/>
          <w:szCs w:val="30"/>
        </w:rPr>
        <w:t>от внешних причин в 2016 году погибло 154 ребенка, в 2017 году – 146 детей, в 2018 году – 137 детей, в 2019 году – 120 детей. Взрослые обязаны предупреждать возможные риски и ограждать детей от них. Работа родителей по предупреждению травматизма должна идти в двух направлениях:</w:t>
      </w:r>
    </w:p>
    <w:p w:rsidR="00830C62" w:rsidRPr="00A57236" w:rsidP="00830C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57236">
        <w:rPr>
          <w:rFonts w:ascii="Times New Roman" w:eastAsia="Times New Roman" w:hAnsi="Times New Roman"/>
          <w:sz w:val="30"/>
          <w:szCs w:val="30"/>
        </w:rPr>
        <w:t>- устранение травмоопасных ситуаций;</w:t>
      </w:r>
    </w:p>
    <w:p w:rsidR="00830C62" w:rsidRPr="00A57236" w:rsidP="00830C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57236">
        <w:rPr>
          <w:rFonts w:ascii="Times New Roman" w:eastAsia="Times New Roman" w:hAnsi="Times New Roman"/>
          <w:sz w:val="30"/>
          <w:szCs w:val="30"/>
        </w:rPr>
        <w:t>- систематическое обучение детей основам профилактики травматизма.</w:t>
      </w:r>
    </w:p>
    <w:p w:rsidR="00830C62" w:rsidRPr="00A57236" w:rsidP="00830C6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30C62" w:rsidRPr="00A57236" w:rsidP="00830C6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57236">
        <w:rPr>
          <w:rFonts w:ascii="Times New Roman" w:hAnsi="Times New Roman"/>
          <w:sz w:val="30"/>
          <w:szCs w:val="30"/>
        </w:rPr>
        <w:t>Берегите себя и своих детей!</w:t>
      </w:r>
    </w:p>
    <w:p w:rsidR="00830C62" w:rsidRPr="00652282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  <w:lang w:eastAsia="ru-RU"/>
        </w:rPr>
      </w:pPr>
    </w:p>
    <w:p w:rsidR="00652282" w:rsidRPr="00652282" w:rsidP="0065228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652282">
        <w:rPr>
          <w:rFonts w:ascii="Times New Roman" w:hAnsi="Times New Roman"/>
          <w:b/>
          <w:sz w:val="30"/>
          <w:szCs w:val="30"/>
          <w:lang w:val="be-BY"/>
        </w:rPr>
        <w:t>“Таямніцы малой радзімы”</w:t>
      </w:r>
    </w:p>
    <w:p w:rsidR="00652282" w:rsidRPr="00652282" w:rsidP="0065228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652282">
        <w:rPr>
          <w:rFonts w:ascii="Times New Roman" w:hAnsi="Times New Roman"/>
          <w:b/>
          <w:sz w:val="30"/>
          <w:szCs w:val="30"/>
          <w:lang w:val="be-BY"/>
        </w:rPr>
        <w:t>Бялыніцкае падполле</w:t>
      </w:r>
    </w:p>
    <w:p w:rsidR="00652282" w:rsidRPr="00652282" w:rsidP="00652282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>22 чэрвеня 1941 года быў звычайны летні дзень, бялынічане займаліся мірнай працай. Бліжэй да палудня па радые некалькі разоў перадалі паведамленне ТАСС аб нападзенні на СССР нацысцкай Германіі.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>Усе мерапрыемствы па эвакуацыі і мабілізаціі ў Бялынічах праводзіліся ў вельмі сціслыя тэрміны, а з набліжэнням фронту ўжо ў пачатку ліпеня на раенны цэнтр упалі першыя авіябомбы.  9 ліпеня 1941 года Бялыніцкі раен быў поўнасцю заняты нямецкімі войскамі, пацягнуліся доўгія гады акупацыі.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>Адначасова з фарміраваннем першых партызанскіх атрадаў ішоў працэс стварэння падпольных груп. Ужо ў ліпені-жніўні 1941 года ў Бялынічах з ліку камуністаў, камсамольцаў, беспартыйных патрыетаў ствараецца падпольная група, якую ўзначальвалі камуністы І.С.Корзун і Л.У.Бабіч.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>Адным з напрамкаў дзейнасці падпольнай групы быў пошук зброі.  У канцы мая 1942 года Сяргей Старавойтаў, Іван і Мікалай Шарахоўскія ў в. Чырвонае балотца, якая размяшчалася паблізу ад Бялыніч, перадалі партызанам ручны кулямет Дзегцярова, каля тысячы патронаў да яго, пяць вінтовак і некалькі гранат. Камсамолкі-падпольшчыцы Кацярына Абрамава, Серафіма Маразевіч, Любоў Навіцкая, Ганна Чорная на беразе р. Друць каля в. Мяльнік сустракаліся з сувязным 122-га партызанскага атрада і перадавалі ім ёд, бінты, вату, шпрыцы.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 xml:space="preserve">Актыўны ўдзел у рабоце падполля прымалі камсамольцы Сяргей Старавойтаў і Уладзімір Талан. Сяргей устанавіў у пуні батарэйны радыёпрыемнік, які вынес з будынка разбітага гітлераўцамі раеннага радыевузла. Ен рэгулярна слухаў звесткі аб становішчы на франтах, прымаў зводкі Саўінфармбюро, запісваў іх і перадаваў таварышам. Распаўсюджвалі хлопцы і лістоўкі сярод насельніцтва. 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>У маі 1943 года група бялыніцкіх падпольшчыкаў сумесна з партызанамі здзейсніла дыверсію на зернескладзе, потым прыняла актыўны ўдзел у разгроме нямецкага гарнізона ў Бялынічах.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>Ішла барацьба з ворагам, але нечакана для падпольшчыкаў пачынаюцца павальныя арышты.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 xml:space="preserve">Сення мала хто з бялынічан ведае, што ў старым цагляным двухпавярховым доме, дзе зараз знаходзіцца кафэ “Белые росы”, ў перыяд нямецкай акупацыі ў падвалах размяшчаўся засценак СД. Сюды і патрапілі пасля арыштаў С. Маразевіч, К.А.Чуліцкі, Д.А.Хадоркін, С.П.Гарэлік і іншыя падпольшчыкі. Пасля катаванняў ўсе яны былі расстраляны. 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 xml:space="preserve">Дзяўчаты, якія перадавалі партызанам медыкаменты, распаўсюджвалі зводкі Саўінфармбюро сярод моладзі мястэчка, з’яўляліся і сувязнымі партызанскіх атрадаў. З Кацярынай Абрамавай, Любоўю Навіцкай, Ганнай Чорнай устанавіла сувязь здрадніца з Круглага, якая потым выдала іх гестапа.  Абрамаву арыштавалі ў канцы сакавіка 1944 г., затым былі ўзяты Навіцкая і Чорная. 13 мая 1944 года яны былі расстраляны ва ўрочышчы Няропля. </w:t>
      </w:r>
    </w:p>
    <w:p w:rsidR="00652282" w:rsidRPr="00652282" w:rsidP="00652282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652282">
        <w:rPr>
          <w:rFonts w:ascii="Times New Roman" w:hAnsi="Times New Roman"/>
          <w:sz w:val="30"/>
          <w:szCs w:val="30"/>
          <w:lang w:val="be-BY"/>
        </w:rPr>
        <w:tab/>
        <w:t>Да Перамогі заставаўся цэлы год крывавай барацьбы з ворагам. Ужо пасля вайны целы расстраляных падпольшчыц былі перавезены і пахаваны на могілках у Бялынічах.</w:t>
      </w:r>
    </w:p>
    <w:p w:rsidR="00652282" w:rsidRPr="00652282" w:rsidP="00652282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:rsidR="00652282" w:rsidRPr="00652282" w:rsidP="008F2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be-BY" w:eastAsia="ru-RU"/>
        </w:rPr>
      </w:pPr>
    </w:p>
    <w:sectPr w:rsidSect="000E0F3A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B1">
    <w:pPr>
      <w:pStyle w:val="Header"/>
      <w:jc w:val="center"/>
    </w:pPr>
    <w:r w:rsidR="00AC7CFF">
      <w:fldChar w:fldCharType="begin"/>
    </w:r>
    <w:r>
      <w:instrText>PAGE   \* MERGEFORMAT</w:instrText>
    </w:r>
    <w:r w:rsidR="00AC7CFF">
      <w:fldChar w:fldCharType="separate"/>
    </w:r>
    <w:r w:rsidR="00320744">
      <w:rPr>
        <w:noProof/>
      </w:rPr>
      <w:t>19</w:t>
    </w:r>
    <w:r w:rsidR="00AC7CFF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01D3"/>
    <w:multiLevelType w:val="hybridMultilevel"/>
    <w:tmpl w:val="CBA2A54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D91CF7"/>
    <w:multiLevelType w:val="hybridMultilevel"/>
    <w:tmpl w:val="1D3E5DC6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9498D"/>
    <w:multiLevelType w:val="hybridMultilevel"/>
    <w:tmpl w:val="D4045E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27A"/>
    <w:multiLevelType w:val="hybridMultilevel"/>
    <w:tmpl w:val="AB7AFA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5752B"/>
    <w:multiLevelType w:val="multilevel"/>
    <w:tmpl w:val="6F72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>
    <w:nsid w:val="69937C23"/>
    <w:multiLevelType w:val="hybridMultilevel"/>
    <w:tmpl w:val="23445C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292CC3"/>
    <w:multiLevelType w:val="multilevel"/>
    <w:tmpl w:val="C15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59A"/>
    <w:rsid w:val="00006AF1"/>
    <w:rsid w:val="000273A1"/>
    <w:rsid w:val="00034684"/>
    <w:rsid w:val="00046593"/>
    <w:rsid w:val="00050C28"/>
    <w:rsid w:val="000511B3"/>
    <w:rsid w:val="000512F5"/>
    <w:rsid w:val="00053A15"/>
    <w:rsid w:val="00054C38"/>
    <w:rsid w:val="00074AC5"/>
    <w:rsid w:val="000756EB"/>
    <w:rsid w:val="00084961"/>
    <w:rsid w:val="00091F6A"/>
    <w:rsid w:val="00097B51"/>
    <w:rsid w:val="000B0F84"/>
    <w:rsid w:val="000B61D3"/>
    <w:rsid w:val="000C7A62"/>
    <w:rsid w:val="000D2A25"/>
    <w:rsid w:val="000E0F3A"/>
    <w:rsid w:val="000F25D9"/>
    <w:rsid w:val="000F48F2"/>
    <w:rsid w:val="000F5BAC"/>
    <w:rsid w:val="000F5F8A"/>
    <w:rsid w:val="00105552"/>
    <w:rsid w:val="00120261"/>
    <w:rsid w:val="00127E27"/>
    <w:rsid w:val="001315D5"/>
    <w:rsid w:val="00136128"/>
    <w:rsid w:val="00140AA3"/>
    <w:rsid w:val="00143FB5"/>
    <w:rsid w:val="00144BA6"/>
    <w:rsid w:val="00155277"/>
    <w:rsid w:val="00157DA1"/>
    <w:rsid w:val="00160C3C"/>
    <w:rsid w:val="00167A9E"/>
    <w:rsid w:val="00174396"/>
    <w:rsid w:val="001749B7"/>
    <w:rsid w:val="00181131"/>
    <w:rsid w:val="0018146D"/>
    <w:rsid w:val="00184D12"/>
    <w:rsid w:val="00187524"/>
    <w:rsid w:val="00195A79"/>
    <w:rsid w:val="001A7DBC"/>
    <w:rsid w:val="001B18E1"/>
    <w:rsid w:val="001C27BF"/>
    <w:rsid w:val="001C3484"/>
    <w:rsid w:val="001D3C00"/>
    <w:rsid w:val="001D5058"/>
    <w:rsid w:val="001D5E99"/>
    <w:rsid w:val="001D6A2A"/>
    <w:rsid w:val="001E232D"/>
    <w:rsid w:val="001E726F"/>
    <w:rsid w:val="001F0DCC"/>
    <w:rsid w:val="00213663"/>
    <w:rsid w:val="002469E7"/>
    <w:rsid w:val="00254660"/>
    <w:rsid w:val="00255534"/>
    <w:rsid w:val="00257B88"/>
    <w:rsid w:val="00260886"/>
    <w:rsid w:val="002775B1"/>
    <w:rsid w:val="002A3121"/>
    <w:rsid w:val="002A3949"/>
    <w:rsid w:val="002B1464"/>
    <w:rsid w:val="002B41C2"/>
    <w:rsid w:val="002B6643"/>
    <w:rsid w:val="002C0817"/>
    <w:rsid w:val="002C4BE2"/>
    <w:rsid w:val="002C4E7B"/>
    <w:rsid w:val="002D3A60"/>
    <w:rsid w:val="002D68D3"/>
    <w:rsid w:val="002E02F6"/>
    <w:rsid w:val="002E3B06"/>
    <w:rsid w:val="002E410F"/>
    <w:rsid w:val="002E57B6"/>
    <w:rsid w:val="002E7DFE"/>
    <w:rsid w:val="002F01D2"/>
    <w:rsid w:val="002F18E2"/>
    <w:rsid w:val="003008AE"/>
    <w:rsid w:val="003202A9"/>
    <w:rsid w:val="00320744"/>
    <w:rsid w:val="00324D46"/>
    <w:rsid w:val="003310DF"/>
    <w:rsid w:val="00331AA2"/>
    <w:rsid w:val="003349C2"/>
    <w:rsid w:val="00340EA8"/>
    <w:rsid w:val="00353269"/>
    <w:rsid w:val="00353FA2"/>
    <w:rsid w:val="00363DB1"/>
    <w:rsid w:val="00363F79"/>
    <w:rsid w:val="00364B15"/>
    <w:rsid w:val="0036592D"/>
    <w:rsid w:val="003673B6"/>
    <w:rsid w:val="00375559"/>
    <w:rsid w:val="0038617B"/>
    <w:rsid w:val="003905EA"/>
    <w:rsid w:val="003A2E90"/>
    <w:rsid w:val="003A6D64"/>
    <w:rsid w:val="003D47E3"/>
    <w:rsid w:val="003D4AEC"/>
    <w:rsid w:val="003E1921"/>
    <w:rsid w:val="003E59B4"/>
    <w:rsid w:val="003E615E"/>
    <w:rsid w:val="003E6A6D"/>
    <w:rsid w:val="003E71A0"/>
    <w:rsid w:val="003F04A9"/>
    <w:rsid w:val="003F7019"/>
    <w:rsid w:val="00400429"/>
    <w:rsid w:val="004137A4"/>
    <w:rsid w:val="00414125"/>
    <w:rsid w:val="0041531E"/>
    <w:rsid w:val="004204B5"/>
    <w:rsid w:val="00430FDB"/>
    <w:rsid w:val="00432EFC"/>
    <w:rsid w:val="00434E7E"/>
    <w:rsid w:val="00436C5B"/>
    <w:rsid w:val="004519B1"/>
    <w:rsid w:val="00457C6C"/>
    <w:rsid w:val="00465E49"/>
    <w:rsid w:val="00466E35"/>
    <w:rsid w:val="0047175A"/>
    <w:rsid w:val="00483DBA"/>
    <w:rsid w:val="0049032B"/>
    <w:rsid w:val="00493755"/>
    <w:rsid w:val="00495F1C"/>
    <w:rsid w:val="004A294E"/>
    <w:rsid w:val="004A3AEB"/>
    <w:rsid w:val="004A6C17"/>
    <w:rsid w:val="004A768A"/>
    <w:rsid w:val="004B2DE5"/>
    <w:rsid w:val="004B2FCB"/>
    <w:rsid w:val="004B697A"/>
    <w:rsid w:val="004C0C85"/>
    <w:rsid w:val="004C3294"/>
    <w:rsid w:val="004C418B"/>
    <w:rsid w:val="004D0C78"/>
    <w:rsid w:val="004D2929"/>
    <w:rsid w:val="004D296C"/>
    <w:rsid w:val="004D58BA"/>
    <w:rsid w:val="004D762B"/>
    <w:rsid w:val="004E1B6B"/>
    <w:rsid w:val="004F3DDA"/>
    <w:rsid w:val="004F4E96"/>
    <w:rsid w:val="004F6961"/>
    <w:rsid w:val="005008B2"/>
    <w:rsid w:val="00502A6D"/>
    <w:rsid w:val="00502F26"/>
    <w:rsid w:val="0050384E"/>
    <w:rsid w:val="00505773"/>
    <w:rsid w:val="00520F41"/>
    <w:rsid w:val="00523289"/>
    <w:rsid w:val="00525131"/>
    <w:rsid w:val="00525F74"/>
    <w:rsid w:val="00532F4B"/>
    <w:rsid w:val="0053426D"/>
    <w:rsid w:val="00536352"/>
    <w:rsid w:val="00540919"/>
    <w:rsid w:val="0054436D"/>
    <w:rsid w:val="005461E4"/>
    <w:rsid w:val="00547614"/>
    <w:rsid w:val="00547DF9"/>
    <w:rsid w:val="00553C1A"/>
    <w:rsid w:val="005667DC"/>
    <w:rsid w:val="00567B4F"/>
    <w:rsid w:val="0057434B"/>
    <w:rsid w:val="005871C1"/>
    <w:rsid w:val="00587FCD"/>
    <w:rsid w:val="005912D7"/>
    <w:rsid w:val="0059162B"/>
    <w:rsid w:val="005918EC"/>
    <w:rsid w:val="005A0E99"/>
    <w:rsid w:val="005A2370"/>
    <w:rsid w:val="005B1226"/>
    <w:rsid w:val="005B4295"/>
    <w:rsid w:val="005C5C28"/>
    <w:rsid w:val="005D193E"/>
    <w:rsid w:val="005D369C"/>
    <w:rsid w:val="005D56AF"/>
    <w:rsid w:val="005D58B2"/>
    <w:rsid w:val="005E65B4"/>
    <w:rsid w:val="005F0F32"/>
    <w:rsid w:val="005F7B70"/>
    <w:rsid w:val="00606263"/>
    <w:rsid w:val="006133E4"/>
    <w:rsid w:val="00624EC7"/>
    <w:rsid w:val="00631C12"/>
    <w:rsid w:val="00634A00"/>
    <w:rsid w:val="0063793B"/>
    <w:rsid w:val="006511E3"/>
    <w:rsid w:val="00652282"/>
    <w:rsid w:val="00652E5D"/>
    <w:rsid w:val="006569E8"/>
    <w:rsid w:val="006570D3"/>
    <w:rsid w:val="006578B7"/>
    <w:rsid w:val="00661BA4"/>
    <w:rsid w:val="00661FCB"/>
    <w:rsid w:val="00675DD1"/>
    <w:rsid w:val="00684B5C"/>
    <w:rsid w:val="0068500C"/>
    <w:rsid w:val="00687C4B"/>
    <w:rsid w:val="006927AB"/>
    <w:rsid w:val="00693F59"/>
    <w:rsid w:val="006A026E"/>
    <w:rsid w:val="006A33D5"/>
    <w:rsid w:val="006A58F6"/>
    <w:rsid w:val="006B0B9A"/>
    <w:rsid w:val="006B247F"/>
    <w:rsid w:val="006B37CB"/>
    <w:rsid w:val="006B43AE"/>
    <w:rsid w:val="006B4906"/>
    <w:rsid w:val="006B6201"/>
    <w:rsid w:val="006C20DC"/>
    <w:rsid w:val="006C3BC2"/>
    <w:rsid w:val="006C58FB"/>
    <w:rsid w:val="006C60C1"/>
    <w:rsid w:val="006E4E40"/>
    <w:rsid w:val="006E7D11"/>
    <w:rsid w:val="006F09DA"/>
    <w:rsid w:val="006F1088"/>
    <w:rsid w:val="007060D8"/>
    <w:rsid w:val="007107F9"/>
    <w:rsid w:val="00712BD7"/>
    <w:rsid w:val="00721080"/>
    <w:rsid w:val="00740226"/>
    <w:rsid w:val="00752454"/>
    <w:rsid w:val="00752F85"/>
    <w:rsid w:val="0075375B"/>
    <w:rsid w:val="00764241"/>
    <w:rsid w:val="00765D12"/>
    <w:rsid w:val="00773134"/>
    <w:rsid w:val="007761B7"/>
    <w:rsid w:val="00780C60"/>
    <w:rsid w:val="00782925"/>
    <w:rsid w:val="007963CA"/>
    <w:rsid w:val="00796407"/>
    <w:rsid w:val="007A033D"/>
    <w:rsid w:val="007A33B4"/>
    <w:rsid w:val="007B09A2"/>
    <w:rsid w:val="007B0ADB"/>
    <w:rsid w:val="007C311B"/>
    <w:rsid w:val="007C3279"/>
    <w:rsid w:val="007C615A"/>
    <w:rsid w:val="007E0A82"/>
    <w:rsid w:val="007F2725"/>
    <w:rsid w:val="008006D3"/>
    <w:rsid w:val="00805A04"/>
    <w:rsid w:val="00807474"/>
    <w:rsid w:val="00807FB7"/>
    <w:rsid w:val="00810A97"/>
    <w:rsid w:val="008148B1"/>
    <w:rsid w:val="00815FA1"/>
    <w:rsid w:val="00821080"/>
    <w:rsid w:val="0082369C"/>
    <w:rsid w:val="008240C3"/>
    <w:rsid w:val="00825537"/>
    <w:rsid w:val="00825D2B"/>
    <w:rsid w:val="00830C62"/>
    <w:rsid w:val="00836B9F"/>
    <w:rsid w:val="00852765"/>
    <w:rsid w:val="00852C73"/>
    <w:rsid w:val="0086036C"/>
    <w:rsid w:val="00861BFC"/>
    <w:rsid w:val="00874E16"/>
    <w:rsid w:val="0088459A"/>
    <w:rsid w:val="00886962"/>
    <w:rsid w:val="00891E39"/>
    <w:rsid w:val="00893905"/>
    <w:rsid w:val="008958B7"/>
    <w:rsid w:val="00895BDA"/>
    <w:rsid w:val="008A7B2F"/>
    <w:rsid w:val="008B6DA9"/>
    <w:rsid w:val="008D49A9"/>
    <w:rsid w:val="008E0000"/>
    <w:rsid w:val="008E728C"/>
    <w:rsid w:val="008F059E"/>
    <w:rsid w:val="008F261B"/>
    <w:rsid w:val="008F2F5C"/>
    <w:rsid w:val="008F495B"/>
    <w:rsid w:val="008F6AFB"/>
    <w:rsid w:val="0090460E"/>
    <w:rsid w:val="00911D71"/>
    <w:rsid w:val="009136E4"/>
    <w:rsid w:val="00921414"/>
    <w:rsid w:val="00926F92"/>
    <w:rsid w:val="0093015A"/>
    <w:rsid w:val="0094308B"/>
    <w:rsid w:val="00943350"/>
    <w:rsid w:val="00943519"/>
    <w:rsid w:val="00950094"/>
    <w:rsid w:val="00951D05"/>
    <w:rsid w:val="0097006B"/>
    <w:rsid w:val="009709A8"/>
    <w:rsid w:val="00977806"/>
    <w:rsid w:val="00977D46"/>
    <w:rsid w:val="00996881"/>
    <w:rsid w:val="009B0C81"/>
    <w:rsid w:val="009C2D55"/>
    <w:rsid w:val="009C615C"/>
    <w:rsid w:val="009C7A23"/>
    <w:rsid w:val="009D1678"/>
    <w:rsid w:val="009D3CD0"/>
    <w:rsid w:val="009E3EEA"/>
    <w:rsid w:val="009E65A8"/>
    <w:rsid w:val="009F3272"/>
    <w:rsid w:val="00A036F1"/>
    <w:rsid w:val="00A04EAE"/>
    <w:rsid w:val="00A056EF"/>
    <w:rsid w:val="00A101B7"/>
    <w:rsid w:val="00A235FA"/>
    <w:rsid w:val="00A30527"/>
    <w:rsid w:val="00A31E1B"/>
    <w:rsid w:val="00A3363D"/>
    <w:rsid w:val="00A401BA"/>
    <w:rsid w:val="00A435C8"/>
    <w:rsid w:val="00A523D1"/>
    <w:rsid w:val="00A57236"/>
    <w:rsid w:val="00A606DE"/>
    <w:rsid w:val="00A60BA6"/>
    <w:rsid w:val="00A6613F"/>
    <w:rsid w:val="00A71D98"/>
    <w:rsid w:val="00A7289C"/>
    <w:rsid w:val="00A73711"/>
    <w:rsid w:val="00A81D0E"/>
    <w:rsid w:val="00A843C9"/>
    <w:rsid w:val="00A9008C"/>
    <w:rsid w:val="00A90BD1"/>
    <w:rsid w:val="00A93DFA"/>
    <w:rsid w:val="00A96F59"/>
    <w:rsid w:val="00AA170F"/>
    <w:rsid w:val="00AA4BF2"/>
    <w:rsid w:val="00AA5A82"/>
    <w:rsid w:val="00AB6A5E"/>
    <w:rsid w:val="00AB6AEF"/>
    <w:rsid w:val="00AC09CF"/>
    <w:rsid w:val="00AC7109"/>
    <w:rsid w:val="00AC7CFF"/>
    <w:rsid w:val="00AD1BE2"/>
    <w:rsid w:val="00AD3B6B"/>
    <w:rsid w:val="00AD54E3"/>
    <w:rsid w:val="00AD6B51"/>
    <w:rsid w:val="00AF0E08"/>
    <w:rsid w:val="00AF2310"/>
    <w:rsid w:val="00B00862"/>
    <w:rsid w:val="00B03ADC"/>
    <w:rsid w:val="00B03D45"/>
    <w:rsid w:val="00B21192"/>
    <w:rsid w:val="00B31868"/>
    <w:rsid w:val="00B3476F"/>
    <w:rsid w:val="00B36846"/>
    <w:rsid w:val="00B45556"/>
    <w:rsid w:val="00B50193"/>
    <w:rsid w:val="00B50632"/>
    <w:rsid w:val="00B569D6"/>
    <w:rsid w:val="00B572D7"/>
    <w:rsid w:val="00B60372"/>
    <w:rsid w:val="00B61468"/>
    <w:rsid w:val="00B65708"/>
    <w:rsid w:val="00B67474"/>
    <w:rsid w:val="00B77B74"/>
    <w:rsid w:val="00B80FBE"/>
    <w:rsid w:val="00B8580C"/>
    <w:rsid w:val="00B900F0"/>
    <w:rsid w:val="00B9331A"/>
    <w:rsid w:val="00B96C70"/>
    <w:rsid w:val="00BA405B"/>
    <w:rsid w:val="00BA7242"/>
    <w:rsid w:val="00BA74FA"/>
    <w:rsid w:val="00BB18A1"/>
    <w:rsid w:val="00BB23D0"/>
    <w:rsid w:val="00BB593A"/>
    <w:rsid w:val="00BB5DD7"/>
    <w:rsid w:val="00BC3920"/>
    <w:rsid w:val="00BE7F38"/>
    <w:rsid w:val="00BF41D2"/>
    <w:rsid w:val="00BF6D9D"/>
    <w:rsid w:val="00C05B2C"/>
    <w:rsid w:val="00C06299"/>
    <w:rsid w:val="00C1613F"/>
    <w:rsid w:val="00C16ABB"/>
    <w:rsid w:val="00C17AF7"/>
    <w:rsid w:val="00C20366"/>
    <w:rsid w:val="00C21B69"/>
    <w:rsid w:val="00C231C2"/>
    <w:rsid w:val="00C240DB"/>
    <w:rsid w:val="00C30211"/>
    <w:rsid w:val="00C30962"/>
    <w:rsid w:val="00C33520"/>
    <w:rsid w:val="00C42574"/>
    <w:rsid w:val="00C46133"/>
    <w:rsid w:val="00C50B9C"/>
    <w:rsid w:val="00C60818"/>
    <w:rsid w:val="00C6512E"/>
    <w:rsid w:val="00C66017"/>
    <w:rsid w:val="00C731F2"/>
    <w:rsid w:val="00C8147A"/>
    <w:rsid w:val="00CB020F"/>
    <w:rsid w:val="00CB17C8"/>
    <w:rsid w:val="00CB5489"/>
    <w:rsid w:val="00CD3D6F"/>
    <w:rsid w:val="00CD5EC4"/>
    <w:rsid w:val="00CF58A0"/>
    <w:rsid w:val="00D14FBB"/>
    <w:rsid w:val="00D20C5B"/>
    <w:rsid w:val="00D23F75"/>
    <w:rsid w:val="00D31D50"/>
    <w:rsid w:val="00D340C9"/>
    <w:rsid w:val="00D429E6"/>
    <w:rsid w:val="00D57232"/>
    <w:rsid w:val="00D62CCF"/>
    <w:rsid w:val="00D678EF"/>
    <w:rsid w:val="00D83EC7"/>
    <w:rsid w:val="00D91BD2"/>
    <w:rsid w:val="00D94AAD"/>
    <w:rsid w:val="00D95C37"/>
    <w:rsid w:val="00D96555"/>
    <w:rsid w:val="00DB2428"/>
    <w:rsid w:val="00DD315C"/>
    <w:rsid w:val="00DE58A6"/>
    <w:rsid w:val="00E0671C"/>
    <w:rsid w:val="00E06DA5"/>
    <w:rsid w:val="00E216C6"/>
    <w:rsid w:val="00E21E7F"/>
    <w:rsid w:val="00E27732"/>
    <w:rsid w:val="00E27AA4"/>
    <w:rsid w:val="00E35322"/>
    <w:rsid w:val="00E36C36"/>
    <w:rsid w:val="00E36DF3"/>
    <w:rsid w:val="00E40BAB"/>
    <w:rsid w:val="00E44FC9"/>
    <w:rsid w:val="00E56DB0"/>
    <w:rsid w:val="00E61A8F"/>
    <w:rsid w:val="00E67F83"/>
    <w:rsid w:val="00E703D4"/>
    <w:rsid w:val="00E757C5"/>
    <w:rsid w:val="00E83B13"/>
    <w:rsid w:val="00E83CD8"/>
    <w:rsid w:val="00E86248"/>
    <w:rsid w:val="00E86FC0"/>
    <w:rsid w:val="00E87AF4"/>
    <w:rsid w:val="00E977B2"/>
    <w:rsid w:val="00EA0417"/>
    <w:rsid w:val="00EA1383"/>
    <w:rsid w:val="00EA26E9"/>
    <w:rsid w:val="00EA6EC6"/>
    <w:rsid w:val="00EB4956"/>
    <w:rsid w:val="00EB4AA2"/>
    <w:rsid w:val="00EC5299"/>
    <w:rsid w:val="00ED063B"/>
    <w:rsid w:val="00ED40BF"/>
    <w:rsid w:val="00EE0383"/>
    <w:rsid w:val="00EE0800"/>
    <w:rsid w:val="00EE082D"/>
    <w:rsid w:val="00EF0B75"/>
    <w:rsid w:val="00EF527E"/>
    <w:rsid w:val="00F05F7C"/>
    <w:rsid w:val="00F176D2"/>
    <w:rsid w:val="00F2284A"/>
    <w:rsid w:val="00F3570A"/>
    <w:rsid w:val="00F42033"/>
    <w:rsid w:val="00F46333"/>
    <w:rsid w:val="00F53F1E"/>
    <w:rsid w:val="00F5576C"/>
    <w:rsid w:val="00F579B0"/>
    <w:rsid w:val="00F60C00"/>
    <w:rsid w:val="00F70982"/>
    <w:rsid w:val="00F75A95"/>
    <w:rsid w:val="00F859C7"/>
    <w:rsid w:val="00FA2878"/>
    <w:rsid w:val="00FA55E7"/>
    <w:rsid w:val="00FA5A10"/>
    <w:rsid w:val="00FB18B3"/>
    <w:rsid w:val="00FB1E98"/>
    <w:rsid w:val="00FC68F1"/>
    <w:rsid w:val="00FC7951"/>
    <w:rsid w:val="00FD1CCD"/>
    <w:rsid w:val="00FD4468"/>
    <w:rsid w:val="00FD7C76"/>
    <w:rsid w:val="00FF1CD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58"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4"/>
    <w:uiPriority w:val="9"/>
    <w:qFormat/>
    <w:rsid w:val="00434E7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23"/>
    <w:uiPriority w:val="9"/>
    <w:semiHidden/>
    <w:unhideWhenUsed/>
    <w:qFormat/>
    <w:rsid w:val="009C615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C615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Текст сноски Знак Знак1,Текст сноски Знак Знак1 Знак,Текст сноски Знак Знак1 Знак1,Текст сноски Знак2,Текст сноски Знак2 Знак"/>
    <w:basedOn w:val="Normal"/>
    <w:link w:val="12"/>
    <w:rsid w:val="00143FB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0">
    <w:name w:val="Текст сноски Знак"/>
    <w:uiPriority w:val="99"/>
    <w:semiHidden/>
    <w:rsid w:val="00143FB5"/>
    <w:rPr>
      <w:sz w:val="20"/>
      <w:szCs w:val="20"/>
    </w:rPr>
  </w:style>
  <w:style w:type="character" w:customStyle="1" w:styleId="12">
    <w:name w:val="Текст сноски Знак1"/>
    <w:aliases w:val="Текст сноски Знак Знак1 Знак Знак,Текст сноски Знак Знак1 Знак1 Знак,Текст сноски Знак Знак1 Знак2,Текст сноски Знак2 Знак Знак,Текст сноски Знак2 Знак1"/>
    <w:link w:val="FootnoteText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143FB5"/>
    <w:rPr>
      <w:vertAlign w:val="superscript"/>
    </w:rPr>
  </w:style>
  <w:style w:type="character" w:customStyle="1" w:styleId="14">
    <w:name w:val="Заголовок 1 Знак"/>
    <w:link w:val="Heading1"/>
    <w:uiPriority w:val="9"/>
    <w:rsid w:val="00434E7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34E7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34E7E"/>
  </w:style>
  <w:style w:type="character" w:styleId="Hyperlink">
    <w:name w:val="Hyperlink"/>
    <w:unhideWhenUsed/>
    <w:rsid w:val="00434E7E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918EC"/>
  </w:style>
  <w:style w:type="paragraph" w:styleId="Footer">
    <w:name w:val="footer"/>
    <w:basedOn w:val="Normal"/>
    <w:link w:val="a3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918EC"/>
  </w:style>
  <w:style w:type="paragraph" w:styleId="NormalWeb">
    <w:name w:val="Normal (Web)"/>
    <w:basedOn w:val="Normal"/>
    <w:uiPriority w:val="99"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4"/>
    <w:uiPriority w:val="99"/>
    <w:semiHidden/>
    <w:unhideWhenUsed/>
    <w:rsid w:val="00D14FBB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D14FBB"/>
  </w:style>
  <w:style w:type="character" w:styleId="CommentReference">
    <w:name w:val="annotation reference"/>
    <w:uiPriority w:val="99"/>
    <w:semiHidden/>
    <w:unhideWhenUsed/>
    <w:rsid w:val="00C231C2"/>
    <w:rPr>
      <w:sz w:val="16"/>
      <w:szCs w:val="16"/>
    </w:rPr>
  </w:style>
  <w:style w:type="paragraph" w:styleId="CommentText">
    <w:name w:val="annotation text"/>
    <w:basedOn w:val="Normal"/>
    <w:link w:val="a5"/>
    <w:uiPriority w:val="99"/>
    <w:semiHidden/>
    <w:unhideWhenUsed/>
    <w:rsid w:val="00C231C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CommentText"/>
    <w:uiPriority w:val="99"/>
    <w:semiHidden/>
    <w:rsid w:val="00C2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rsid w:val="00C231C2"/>
    <w:rPr>
      <w:b/>
      <w:bCs/>
    </w:rPr>
  </w:style>
  <w:style w:type="character" w:customStyle="1" w:styleId="a6">
    <w:name w:val="Тема примечания Знак"/>
    <w:link w:val="CommentSubject"/>
    <w:uiPriority w:val="99"/>
    <w:semiHidden/>
    <w:rsid w:val="00C231C2"/>
    <w:rPr>
      <w:b/>
      <w:bCs/>
      <w:sz w:val="20"/>
      <w:szCs w:val="20"/>
    </w:rPr>
  </w:style>
  <w:style w:type="paragraph" w:customStyle="1" w:styleId="a00">
    <w:name w:val="a0"/>
    <w:basedOn w:val="Normal"/>
    <w:uiPriority w:val="99"/>
    <w:rsid w:val="001A7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Мой"/>
    <w:basedOn w:val="Normal"/>
    <w:uiPriority w:val="99"/>
    <w:rsid w:val="001A7DBC"/>
    <w:pPr>
      <w:spacing w:after="0" w:line="240" w:lineRule="auto"/>
      <w:ind w:firstLine="709"/>
      <w:jc w:val="both"/>
    </w:pPr>
    <w:rPr>
      <w:sz w:val="30"/>
      <w:szCs w:val="30"/>
    </w:rPr>
  </w:style>
  <w:style w:type="paragraph" w:customStyle="1" w:styleId="ConsPlusNormal">
    <w:name w:val="ConsPlusNormal"/>
    <w:rsid w:val="001A7DBC"/>
    <w:pPr>
      <w:autoSpaceDE w:val="0"/>
      <w:autoSpaceDN w:val="0"/>
      <w:adjustRightInd w:val="0"/>
    </w:pPr>
    <w:rPr>
      <w:rFonts w:ascii="Arial" w:eastAsia="Times New Roman" w:hAnsi="Arial" w:cs="Arial"/>
      <w:lang w:val="ru-RU" w:eastAsia="ru-RU" w:bidi="ar-SA"/>
    </w:rPr>
  </w:style>
  <w:style w:type="character" w:customStyle="1" w:styleId="23">
    <w:name w:val="Заголовок 2 Знак"/>
    <w:link w:val="Heading2"/>
    <w:uiPriority w:val="9"/>
    <w:semiHidden/>
    <w:rsid w:val="009C61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">
    <w:name w:val="Заголовок 3 Знак"/>
    <w:link w:val="Heading3"/>
    <w:uiPriority w:val="9"/>
    <w:semiHidden/>
    <w:rsid w:val="009C615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Strong">
    <w:name w:val="Strong"/>
    <w:uiPriority w:val="22"/>
    <w:qFormat/>
    <w:rsid w:val="009C615C"/>
    <w:rPr>
      <w:b/>
      <w:bCs/>
    </w:rPr>
  </w:style>
  <w:style w:type="character" w:customStyle="1" w:styleId="a8">
    <w:name w:val="Основной текст_"/>
    <w:link w:val="15"/>
    <w:rsid w:val="009E65A8"/>
    <w:rPr>
      <w:sz w:val="28"/>
      <w:szCs w:val="28"/>
      <w:shd w:val="clear" w:color="auto" w:fill="FFFFFF"/>
    </w:rPr>
  </w:style>
  <w:style w:type="character" w:customStyle="1" w:styleId="145pt">
    <w:name w:val="Основной текст + 14;5 pt;Курсив"/>
    <w:rsid w:val="009E65A8"/>
    <w:rPr>
      <w:i/>
      <w:iCs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9E65A8"/>
    <w:rPr>
      <w:sz w:val="29"/>
      <w:szCs w:val="29"/>
      <w:shd w:val="clear" w:color="auto" w:fill="FFFFFF"/>
    </w:rPr>
  </w:style>
  <w:style w:type="character" w:customStyle="1" w:styleId="414pt">
    <w:name w:val="Основной текст (4) + 14 pt;Не курсив"/>
    <w:rsid w:val="009E65A8"/>
    <w:rPr>
      <w:i/>
      <w:iCs/>
      <w:sz w:val="28"/>
      <w:szCs w:val="28"/>
      <w:shd w:val="clear" w:color="auto" w:fill="FFFFFF"/>
    </w:rPr>
  </w:style>
  <w:style w:type="paragraph" w:customStyle="1" w:styleId="15">
    <w:name w:val="Основной текст1"/>
    <w:basedOn w:val="Normal"/>
    <w:link w:val="a8"/>
    <w:rsid w:val="009E65A8"/>
    <w:pPr>
      <w:shd w:val="clear" w:color="auto" w:fill="FFFFFF"/>
      <w:spacing w:after="0" w:line="0" w:lineRule="atLeast"/>
    </w:pPr>
    <w:rPr>
      <w:sz w:val="28"/>
      <w:szCs w:val="28"/>
      <w:lang w:eastAsia="ru-RU"/>
    </w:rPr>
  </w:style>
  <w:style w:type="paragraph" w:customStyle="1" w:styleId="40">
    <w:name w:val="Основной текст (4)"/>
    <w:basedOn w:val="Normal"/>
    <w:link w:val="4"/>
    <w:rsid w:val="009E65A8"/>
    <w:pPr>
      <w:shd w:val="clear" w:color="auto" w:fill="FFFFFF"/>
      <w:spacing w:after="0" w:line="341" w:lineRule="exact"/>
      <w:jc w:val="both"/>
    </w:pPr>
    <w:rPr>
      <w:sz w:val="29"/>
      <w:szCs w:val="29"/>
      <w:lang w:eastAsia="ru-RU"/>
    </w:rPr>
  </w:style>
  <w:style w:type="paragraph" w:customStyle="1" w:styleId="Style4">
    <w:name w:val="Style4"/>
    <w:basedOn w:val="Normal"/>
    <w:rsid w:val="009E6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Normal"/>
    <w:rsid w:val="009E65A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belhydromet@gmail.com" TargetMode="External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51A7-5F88-46D7-A138-F9E042FB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6491</Words>
  <Characters>39600</Characters>
  <Application>Microsoft Office Word</Application>
  <DocSecurity>0</DocSecurity>
  <Lines>330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04.04.2020 в 08:47:28 10 Конойко_x000D_Сохранен: 	04.04.2020 в 08:48:01 _x000D_Сохранен: 	04.04.2020 в 08:50:58 _x000D_Сохранен: 	04.04.2020 в 08:53:52 _x000D_Сохранен: 	04.04.2020 в 08:56:22 _x000D_Сохранен: 	04.04.2020 в 08:58:04 _x000D_Сохранен: 	04.04.2020 в 08:58:52 _x000D_Сохранен: 	04.04.2020 в 08:59:25 _x000D_Сохранен: 	04.04.2020 в 09:06:48 _x000D_Сохранен: 	04.04.2020 в 09:07:26 _x000D_Сохранен: 	04.04.2020 в 09:08:12 _x000D_Сохранен: 	04.04.2020 в 09:08:42 _x000D_Сохранен: 	04.04.2020 в 09:10:07 _x000D_Сохранен: 	04.04.2020 в 09:10:33 _x000D_Сохранен: 	04.04.2020 в 09:11:01 _x000D_Сохранен: 	04.04.2020 в 09:11:22 _x000D_Сохранен: 	04.04.2020 в 09:11:42 _x000D_Сохранен: 	04.04.2020 в 09:13:10 _x000D_Сохранен: 	04.04.2020 в 09:13:51 _x000D_Сохранен: 	04.04.2020 в 09:15:07 _x000D_Сохранен: 	04.04.2020 в 09:15:40 _x000D_Сохранен: 	04.04.2020 в 09:16:10 _x000D_Сохранен: 	04.04.2020 в 09:16:38 _x000D_Сохранен: 	04.04.2020 в 09:17:00 _x000D_Сохранен: 	04.04.2020 в 09:17:46 _x000D_Сохранен: 	04.04.2020 в 09:18:42 _x000D_Сохранен: 	04.04.2020 в 09:28:14 _x000D_Сохранен: 	04.04.2020 в 09:28:59 _x000D_Сохранен: 	04.04.2020 в 09:29:19 _x000D_Сохранен: 	04.04.2020 в 09:30:47 _x000D_Сохранен: 	04.04.2020 в 09:31:25 _x000D_Сохранен: 	04.04.2020 в 09:33:06 _x000D_Сохранен: 	04.04.2020 в 09:33:52 _x000D_Сохранен: 	04.04.2020 в 09:34:00 _x000D_Сохранен: 	04.04.2020 в 09:34:41 _x000D_Сохранен: 	04.04.2020 в 09:35:04 _x000D_Сохранен: 	04.04.2020 в 09:36:21 _x000D_Сохранен: 	04.04.2020 в 09:39:01 _x000D_Сохранен: 	04.04.2020 в 09:43:54 _x000D_Сохранен: 	04.04.2020 в 09:44:03 _x000D_Отпечатан: 	04.04.2020 в 09:44:05 _x000D_Сохранен: 	04.04.2020 в 09:44:38 _x000D__x000D_Открыт: 		07.04.2020 в 09:59:42 10 Конойко_x000D__x000D_Открыт: 		07.04.2020 в 09:42:23 10 Липницкий</dc:description>
  <cp:lastModifiedBy>Пользователь</cp:lastModifiedBy>
  <cp:revision>9</cp:revision>
  <cp:lastPrinted>2020-04-04T06:44:00Z</cp:lastPrinted>
  <dcterms:created xsi:type="dcterms:W3CDTF">2020-05-18T08:15:00Z</dcterms:created>
  <dcterms:modified xsi:type="dcterms:W3CDTF">2020-05-19T10:59:00Z</dcterms:modified>
</cp:coreProperties>
</file>