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right="-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Белыничский районный исполнительный комитет</w:t>
      </w:r>
    </w:p>
    <w:p>
      <w:pPr>
        <w:jc w:val="center"/>
        <w:ind w:right="-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Отдел идеологической работы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культуры и по делам молодежи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75" w:lineRule="exact"/>
        <w:rPr>
          <w:sz w:val="24"/>
          <w:szCs w:val="24"/>
          <w:color w:val="auto"/>
        </w:rPr>
      </w:pPr>
    </w:p>
    <w:p>
      <w:pPr>
        <w:jc w:val="center"/>
        <w:ind w:right="-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МАТЕРИАЛ</w:t>
      </w:r>
    </w:p>
    <w:p>
      <w:pPr>
        <w:jc w:val="center"/>
        <w:ind w:right="-11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для информационно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пропагандистских групп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45" w:lineRule="exact"/>
        <w:rPr>
          <w:sz w:val="24"/>
          <w:szCs w:val="24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АКТУАЛЬНЫЕ ВОПРОСЫ ПОВЫШЕНИЯ КАЧЕСТВА</w:t>
      </w:r>
    </w:p>
    <w:p>
      <w:pPr>
        <w:ind w:left="1620" w:hanging="288"/>
        <w:spacing w:after="0"/>
        <w:tabs>
          <w:tab w:leader="none" w:pos="1620" w:val="left"/>
        </w:tabs>
        <w:numPr>
          <w:ilvl w:val="1"/>
          <w:numId w:val="1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ДОСТУПНОСТИ УСЛУГ ЗДРАВООХРАНЕНИЯ</w:t>
      </w:r>
    </w:p>
    <w:p>
      <w:pPr>
        <w:spacing w:after="0" w:line="334" w:lineRule="exact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</w:p>
    <w:p>
      <w:pPr>
        <w:ind w:left="100" w:firstLine="476"/>
        <w:spacing w:after="0" w:line="234" w:lineRule="auto"/>
        <w:tabs>
          <w:tab w:leader="none" w:pos="857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СТРОИТЕЛЬСТВЕ ЖИЛЬЯ В МОГИЛЕВСКОЙ ОБЛАСТИ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ГОСУДАРСТВЕННАЯ ПОДДЕРЖКА ГРАЖДАН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НУЖДАЮЩИХСЯ</w:t>
      </w:r>
    </w:p>
    <w:p>
      <w:pPr>
        <w:spacing w:after="0" w:line="4" w:lineRule="exact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</w:p>
    <w:p>
      <w:pPr>
        <w:ind w:left="2040" w:hanging="259"/>
        <w:spacing w:after="0"/>
        <w:tabs>
          <w:tab w:leader="none" w:pos="2040" w:val="left"/>
        </w:tabs>
        <w:numPr>
          <w:ilvl w:val="2"/>
          <w:numId w:val="1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УЛУЧШЕНИИ ЖИЛИЩНЫХ УСЛОВИЙ</w:t>
      </w:r>
    </w:p>
    <w:p>
      <w:pPr>
        <w:spacing w:after="0" w:line="321" w:lineRule="exact"/>
        <w:rPr>
          <w:sz w:val="24"/>
          <w:szCs w:val="24"/>
          <w:color w:val="auto"/>
        </w:rPr>
      </w:pPr>
    </w:p>
    <w:p>
      <w:pPr>
        <w:jc w:val="center"/>
        <w:ind w:right="-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Безопасность детей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</w:t>
      </w:r>
    </w:p>
    <w:p>
      <w:pPr>
        <w:jc w:val="center"/>
        <w:ind w:right="-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Профилактика гибели детей от внешних причин</w:t>
      </w:r>
    </w:p>
    <w:p>
      <w:pPr>
        <w:spacing w:after="0" w:line="321" w:lineRule="exact"/>
        <w:rPr>
          <w:sz w:val="24"/>
          <w:szCs w:val="24"/>
          <w:color w:val="auto"/>
        </w:rPr>
      </w:pPr>
    </w:p>
    <w:p>
      <w:pPr>
        <w:jc w:val="center"/>
        <w:ind w:right="-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ГОЛОСА РОДНОГО КРАЯ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:</w:t>
      </w:r>
    </w:p>
    <w:p>
      <w:pPr>
        <w:jc w:val="center"/>
        <w:ind w:right="-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ЗНАМЕНИТЫЕ ЛИТЕРАТОРЫ МОГИЛЕВЩИНЫ</w:t>
      </w:r>
    </w:p>
    <w:p>
      <w:pPr>
        <w:spacing w:after="0" w:line="321" w:lineRule="exact"/>
        <w:rPr>
          <w:sz w:val="24"/>
          <w:szCs w:val="24"/>
          <w:color w:val="auto"/>
        </w:rPr>
      </w:pPr>
    </w:p>
    <w:p>
      <w:pPr>
        <w:ind w:left="6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“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Апошняя перамога Карла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XII”,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Галоўчынская бітва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1708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года</w:t>
      </w:r>
    </w:p>
    <w:p>
      <w:pPr>
        <w:sectPr>
          <w:pgSz w:w="11900" w:h="16838" w:orient="portrait"/>
          <w:cols w:equalWidth="0" w:num="1">
            <w:col w:w="9200"/>
          </w:cols>
          <w:pgMar w:left="1440" w:top="849" w:right="1266" w:bottom="1096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ind w:left="38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г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Белыничи</w:t>
      </w:r>
    </w:p>
    <w:p>
      <w:pPr>
        <w:ind w:left="38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Июль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, 2018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г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</w:t>
      </w:r>
    </w:p>
    <w:p>
      <w:pPr>
        <w:sectPr>
          <w:pgSz w:w="11900" w:h="16838" w:orient="portrait"/>
          <w:cols w:equalWidth="0" w:num="1">
            <w:col w:w="9200"/>
          </w:cols>
          <w:pgMar w:left="1440" w:top="849" w:right="1266" w:bottom="1096" w:gutter="0" w:footer="0" w:header="0"/>
          <w:type w:val="continuous"/>
        </w:sectPr>
      </w:pPr>
    </w:p>
    <w:bookmarkStart w:id="1" w:name="page2"/>
    <w:bookmarkEnd w:id="1"/>
    <w:p>
      <w:pPr>
        <w:jc w:val="center"/>
        <w:ind w:right="-5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АКТУАЛЬНЫЕ ВОПРОСЫ ПОВЫШЕНИЯ КАЧЕСТВА</w:t>
      </w:r>
    </w:p>
    <w:p>
      <w:pPr>
        <w:jc w:val="center"/>
        <w:ind w:right="-5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И ДОСТУПНОСТИ УСЛУГ ЗДРАВООХРАНЕНИЯ</w:t>
      </w:r>
    </w:p>
    <w:p>
      <w:pPr>
        <w:spacing w:after="0" w:line="330" w:lineRule="exact"/>
        <w:rPr>
          <w:sz w:val="20"/>
          <w:szCs w:val="20"/>
          <w:color w:val="auto"/>
        </w:rPr>
      </w:pPr>
    </w:p>
    <w:p>
      <w:pPr>
        <w:jc w:val="both"/>
        <w:ind w:left="6"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Государственная система здравоохранения Республики Беларусь основана на соблюдении принципов социальной справедливости и доступности медицинской помощи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left="6" w:firstLine="708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Здоровье населения рассматривается как одно из главных условий успешной реализации стратегии социально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экономического развития Республики Беларусь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Важнейшей целью нашего государства в области охраны здоровья является снижение уровня заболеваний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распространение которых несет главную угрозу здоровью граждан и национальной безопасности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При этом только совершенствование системы здравоохранения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его модернизация может обеспечить достижение этой цели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6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 последние годы здравоохранение республики достигло значительных результатов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 многим позициям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характеризующим медикодемографическое состояние страны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Республика Беларусь занимает лидирующее положение среди стран СНГ и пользуется заслуженным уважением мирового медицинского сообщества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34" w:lineRule="exact"/>
        <w:rPr>
          <w:sz w:val="20"/>
          <w:szCs w:val="20"/>
          <w:color w:val="auto"/>
        </w:rPr>
      </w:pPr>
    </w:p>
    <w:p>
      <w:pPr>
        <w:ind w:left="70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u w:val="single" w:color="auto"/>
          <w:color w:val="auto"/>
        </w:rPr>
        <w:t>Основные медико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u w:val="single" w:color="auto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u w:val="single" w:color="auto"/>
          <w:color w:val="auto"/>
        </w:rPr>
        <w:t>демографические показатели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jc w:val="both"/>
        <w:ind w:left="6" w:firstLine="708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января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2018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численность населения Могилевской области составила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1058746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чел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снижение по сравнению 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2013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13799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человек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left="6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Коэффициент рождаемости в регионе 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году составил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10,5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2013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 12,2)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отношение числа родившихся живыми в течение календарного года к среднегодовой численности населения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;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показывает число родившихся на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1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тыс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человек населения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6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месяцев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2018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года коэффициент рождаемости равен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9,8.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6" w:firstLine="702"/>
        <w:spacing w:after="0" w:line="237" w:lineRule="auto"/>
        <w:tabs>
          <w:tab w:leader="none" w:pos="1051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Могилевской области отмечено снижение коэффициента смертности населения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14,2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2013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году до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13,6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отношение числа умерших в течение календарного года к среднегодовой численности населения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;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показывает число умерших на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1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тыс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человек населения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6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месяцев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2018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года коэффициент смертности составил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14,1.</w:t>
      </w:r>
    </w:p>
    <w:p>
      <w:pPr>
        <w:spacing w:after="0" w:line="18" w:lineRule="exact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</w:p>
    <w:p>
      <w:pPr>
        <w:jc w:val="both"/>
        <w:ind w:left="6" w:firstLine="702"/>
        <w:spacing w:after="0" w:line="237" w:lineRule="auto"/>
        <w:tabs>
          <w:tab w:leader="none" w:pos="1000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регионе продолжается дальнейшее снижение показателя младенческой смертности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Могилевской области самый низкий показатель младенческой смертности в республике за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- 2,0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тыс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родившихся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6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месяцев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2018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 1,8.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Республика Беларусь входит в число стран с самым низким уровнем младенческой смертности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</w:p>
    <w:p>
      <w:pPr>
        <w:jc w:val="both"/>
        <w:ind w:left="6" w:firstLine="708"/>
        <w:spacing w:after="0" w:line="236" w:lineRule="auto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Выросла ожидаемая продолжительность жизни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регионе 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году значение этого показателя составило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73,6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года в общей популяции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2013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году соответственно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- 71,8).</w:t>
      </w:r>
    </w:p>
    <w:p>
      <w:pPr>
        <w:spacing w:after="0" w:line="344" w:lineRule="exact"/>
        <w:rPr>
          <w:sz w:val="20"/>
          <w:szCs w:val="20"/>
          <w:color w:val="auto"/>
        </w:rPr>
      </w:pPr>
    </w:p>
    <w:p>
      <w:pPr>
        <w:ind w:left="6" w:firstLine="708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u w:val="single" w:color="auto"/>
          <w:color w:val="auto"/>
        </w:rPr>
        <w:t>Основные показатели обеспечения белорусских граждан медицинской помощью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6" w:firstLine="708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Общие затраты на здравоохранение 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году в Республике Беларусь составили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6%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ВВП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государствах ЕС значение данного показателя зафиксировано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5026" w:right="4120" w:hanging="5026"/>
        <w:spacing w:after="0" w:line="589" w:lineRule="auto"/>
        <w:tabs>
          <w:tab w:leader="none" w:pos="194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среднем на уровне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7,7%,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в странах СНГ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 3,4%. 2</w:t>
      </w:r>
    </w:p>
    <w:p>
      <w:pPr>
        <w:sectPr>
          <w:pgSz w:w="11900" w:h="16838" w:orient="portrait"/>
          <w:cols w:equalWidth="0" w:num="1">
            <w:col w:w="10206"/>
          </w:cols>
          <w:pgMar w:left="994" w:top="849" w:right="706" w:bottom="0" w:gutter="0" w:footer="0" w:header="0"/>
        </w:sectPr>
      </w:pPr>
    </w:p>
    <w:bookmarkStart w:id="2" w:name="page3"/>
    <w:bookmarkEnd w:id="2"/>
    <w:p>
      <w:pPr>
        <w:jc w:val="both"/>
        <w:ind w:left="6"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Показатель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обеспеченности больничными койками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краткосрочного пребывания 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тыс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населения за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 в области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83,1,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Республике Беларусь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84,2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значительно выше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чем в Польше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(65,2),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Латвии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(56,7),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Литве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(72,6).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70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Показатель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обеспеченности практикующими врачами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тыс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населения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6" w:hanging="6"/>
        <w:spacing w:after="0" w:line="234" w:lineRule="auto"/>
        <w:tabs>
          <w:tab w:leader="none" w:pos="234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2017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году в Могилевской области составил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34,6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Республике Беларусь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- 42,2,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выше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чем в странах ЕС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(33,4)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странах СНГ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(38,1).</w:t>
      </w:r>
    </w:p>
    <w:p>
      <w:pPr>
        <w:spacing w:after="0" w:line="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706"/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Показатель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обеспеченности медицинскими сестрами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Могилевской области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6" w:hanging="6"/>
        <w:spacing w:after="0" w:line="234" w:lineRule="auto"/>
        <w:tabs>
          <w:tab w:leader="none" w:pos="225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2017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году составлял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125,1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Республике Беларусь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- 133,4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тыс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населения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значительно выше аналогичного показателя в странах ЕС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(86,8)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СНГ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(62).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8"/>
        <w:spacing w:after="0" w:line="238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 числу амбулаторных посещений на человека в год 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году Республика Беларусь занимает лидирующую позицию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 11,6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посещений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Данный показатель составлял в Латвии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5,9,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Литве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 8,7,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Казахстане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 6,1.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Могилевской области данный показатель 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году выше республиканского и составил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12,5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посещений на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тыс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населения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8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Средняя продолжительность пребывания в стационаре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Республике Беларусь 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году составила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10,4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дня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сопоставимо со странами ЕС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(10,6)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выше чем в странах СНГ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(8,2).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области 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году данный показатель ниже республиканского и составлял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9,8.</w:t>
      </w:r>
    </w:p>
    <w:p>
      <w:pPr>
        <w:spacing w:after="0" w:line="330" w:lineRule="exact"/>
        <w:rPr>
          <w:sz w:val="20"/>
          <w:szCs w:val="20"/>
          <w:color w:val="auto"/>
        </w:rPr>
      </w:pPr>
    </w:p>
    <w:p>
      <w:pPr>
        <w:ind w:left="706"/>
        <w:spacing w:after="0"/>
        <w:tabs>
          <w:tab w:leader="none" w:pos="2666" w:val="left"/>
          <w:tab w:leader="none" w:pos="5206" w:val="left"/>
          <w:tab w:leader="none" w:pos="7146" w:val="left"/>
          <w:tab w:leader="none" w:pos="8946" w:val="left"/>
          <w:tab w:leader="none" w:pos="9466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u w:val="single" w:color="auto"/>
          <w:color w:val="auto"/>
        </w:rPr>
        <w:t>Выполнение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u w:val="single" w:color="auto"/>
          <w:color w:val="auto"/>
        </w:rPr>
        <w:t>государственных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u w:val="single" w:color="auto"/>
          <w:color w:val="auto"/>
        </w:rPr>
        <w:t>социальных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u w:val="single" w:color="auto"/>
          <w:color w:val="auto"/>
        </w:rPr>
        <w:t>стандартов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u w:val="single" w:color="auto"/>
          <w:color w:val="auto"/>
        </w:rPr>
        <w:t>в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u w:val="single" w:color="auto"/>
          <w:color w:val="auto"/>
        </w:rPr>
        <w:t>сфере</w:t>
      </w:r>
    </w:p>
    <w:p>
      <w:pPr>
        <w:ind w:left="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u w:val="single" w:color="auto"/>
          <w:color w:val="auto"/>
        </w:rPr>
        <w:t>здравоохранения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jc w:val="both"/>
        <w:ind w:left="6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Система государственных минимальных социальных стандартов в Республике Беларусь охватывает сферы оплаты труда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пенсионного обеспечения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образования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здравоохранения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культуры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жилищно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коммунального обслуживания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социальной поддержки и социального обслуживания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left="6" w:firstLine="708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Отличительной чертой белорусского здравоохранения являются гарантии получения установленного объема бесплатной медицинской помощи в государственных учреждениях здравоохранения всем слоям населения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В стране внедрены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6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социальных стандартов в области здравоохранения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все они выполняются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706"/>
        <w:spacing w:after="0"/>
        <w:tabs>
          <w:tab w:leader="none" w:pos="1306" w:val="left"/>
          <w:tab w:leader="none" w:pos="2406" w:val="left"/>
          <w:tab w:leader="none" w:pos="4746" w:val="left"/>
          <w:tab w:leader="none" w:pos="6706" w:val="left"/>
          <w:tab w:leader="none" w:pos="8426" w:val="left"/>
          <w:tab w:leader="none" w:pos="10046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</w:t>
        <w:tab/>
        <w:t>основе</w:t>
        <w:tab/>
        <w:t>государственных</w:t>
        <w:tab/>
        <w:t>минимальных</w:t>
        <w:tab/>
        <w:t>социальных</w:t>
        <w:tab/>
        <w:t>стандартов</w:t>
        <w:tab/>
        <w:t>в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both"/>
        <w:ind w:left="6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административно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территориальных единицах Республики Беларусь разрабатываются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территориальные программы государственных гарантий по обеспечению медицинским обслуживанием граждан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территориальные планы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Их основой является гарантированный государством объем медицинской и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left="6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лекарственной помощи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предусматривающий оказание количественно регламентированной медицинской помощи по профилактике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диагностике и лечению заболеваний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определяемый ежегодно Министерством здравоохранения Республики Беларусь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jc w:val="both"/>
        <w:ind w:left="6" w:firstLine="708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 государственные социальные стандарты в здравоохранении Могилѐвской области выполнены следующим образом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left="6" w:firstLine="708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бюджетная обеспеченность расходов на здравоохранение в расчѐте 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го жителя составила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360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руб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 56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коп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.;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left="6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обеспеченность врачами общей практики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участковыми врачами составила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врач 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1169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жителей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том числе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участковый врач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терапевт 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1617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жителей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 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участковый врач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педиатр 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752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ребѐнка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 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врач общей практики 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1153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жителей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jc w:val="center"/>
        <w:ind w:right="-5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3</w:t>
      </w:r>
    </w:p>
    <w:p>
      <w:pPr>
        <w:sectPr>
          <w:pgSz w:w="11900" w:h="16838" w:orient="portrait"/>
          <w:cols w:equalWidth="0" w:num="1">
            <w:col w:w="10206"/>
          </w:cols>
          <w:pgMar w:left="994" w:top="858" w:right="706" w:bottom="137" w:gutter="0" w:footer="0" w:header="0"/>
        </w:sectPr>
      </w:pPr>
    </w:p>
    <w:bookmarkStart w:id="3" w:name="page4"/>
    <w:bookmarkEnd w:id="3"/>
    <w:p>
      <w:pPr>
        <w:ind w:left="70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обеспеченность койками составила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9,4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койки 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1000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жителей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обеспеченность бригадами скорой медицинской помощи составила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бригада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11087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жителей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ind w:left="7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обеспеченность аптеками составила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аптека 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2,6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тысячи жителей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ind w:left="7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норматив обеспеченности автотранспортом выполнен 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100,0%.</w:t>
      </w:r>
    </w:p>
    <w:p>
      <w:pPr>
        <w:spacing w:after="0" w:line="328" w:lineRule="exact"/>
        <w:rPr>
          <w:sz w:val="20"/>
          <w:szCs w:val="20"/>
          <w:color w:val="auto"/>
        </w:rPr>
      </w:pPr>
    </w:p>
    <w:p>
      <w:pPr>
        <w:ind w:left="7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u w:val="single" w:color="auto"/>
          <w:color w:val="auto"/>
        </w:rPr>
        <w:t>Обеспечение учреждений здравоохранения медицинскими кадрами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jc w:val="both"/>
        <w:ind w:firstLine="702"/>
        <w:spacing w:after="0" w:line="237" w:lineRule="auto"/>
        <w:tabs>
          <w:tab w:leader="none" w:pos="1172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Республике Беларусь подготовку кадров с высшим медицинским образованием обеспечивают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4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медицинских университета и Белорусская академия последипломного образования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году выпуск специалистов с высшим медицинским образованием составил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3536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человек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Могилевской области к работе приступили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285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специалистов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8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Подготовка кадров со средним медицинским образованием проводится 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16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колледжах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Общее число выпускников медицинских колледжей 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году составило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5574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человека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Могилевской области к работе приступили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499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специалистов со средним медицинским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фармацевтическим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образованием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7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2"/>
        <w:spacing w:after="0" w:line="236" w:lineRule="auto"/>
        <w:tabs>
          <w:tab w:leader="none" w:pos="1087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2017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году в области из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288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выпускников направлены во врачебные амбулатории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специалистов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участковые больницы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 3,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центральные районные больницы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 128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человек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7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firstLine="708"/>
        <w:spacing w:after="0" w:line="234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 в регионе укомплектованность врачами составила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99%,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укомплектованность средним медицинским персоналом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- 99,3%.</w:t>
      </w:r>
    </w:p>
    <w:p>
      <w:pPr>
        <w:spacing w:after="0" w:line="342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u w:val="single" w:color="auto"/>
          <w:color w:val="auto"/>
        </w:rPr>
        <w:t>Предоставление населению различных видов медицинской помощи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u w:val="single" w:color="auto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u w:val="single" w:color="auto"/>
          <w:color w:val="auto"/>
        </w:rPr>
        <w:t xml:space="preserve"> внедрение высокотехнологичных методов лечения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Медицинскую помощь населению области оказывают 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63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больничных 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168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амбулаторно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поликлинических организациях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21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станциях скорой медицинской помощи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93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амбулаториях врача общей практики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Ежегодно отмечается значительное повышение доступности и своевременности оказания высокотехнологичной помощи пациентам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</w:t>
      </w:r>
    </w:p>
    <w:p>
      <w:pPr>
        <w:ind w:left="1000" w:hanging="298"/>
        <w:spacing w:after="0" w:line="237" w:lineRule="auto"/>
        <w:tabs>
          <w:tab w:leader="none" w:pos="1000" w:val="left"/>
        </w:tabs>
        <w:numPr>
          <w:ilvl w:val="0"/>
          <w:numId w:val="6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стране создана сеть из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13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республиканских научно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практических центров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обладающих мощной материально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технической базой и высококвалифицированными кадрами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владеющими новейшими достижениями мировой медицинской науки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6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Во всех областных больницах выполняются диагностические коронарографии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операции по имплантации электрокардиостимуляторов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стентированию артерий и другие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firstLine="708"/>
        <w:spacing w:after="0" w:line="234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Широко внедряются высокотехнологичные методы лечения в области кардиологии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неврологии и нейрохирургии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травматологии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трансплантологии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980" w:right="1700" w:hanging="286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 пять месяцев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2018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года в республике проведено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операций на сердце и сосудах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 7392 (2017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 7007);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операций на открытом сердце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1555 (2017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 1594);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операций по замене сердечных клапанов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 739 (2017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–756);</w:t>
      </w:r>
    </w:p>
    <w:p>
      <w:pPr>
        <w:spacing w:after="0" w:line="3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980"/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имплантаций электрокардиостимуляторов и других устройств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 1370 (2017</w:t>
      </w:r>
    </w:p>
    <w:p>
      <w:pPr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год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 1280);</w:t>
      </w:r>
    </w:p>
    <w:p>
      <w:pPr>
        <w:ind w:left="980"/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ангиопластик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восстановлений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коронарных сосудов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 3561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980"/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(2017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 3373);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4</w:t>
      </w:r>
    </w:p>
    <w:p>
      <w:pPr>
        <w:sectPr>
          <w:pgSz w:w="11900" w:h="16838" w:orient="portrait"/>
          <w:cols w:equalWidth="0" w:num="1">
            <w:col w:w="10200"/>
          </w:cols>
          <w:pgMar w:left="1000" w:top="858" w:right="706" w:bottom="137" w:gutter="0" w:footer="0" w:header="0"/>
        </w:sectPr>
      </w:pPr>
    </w:p>
    <w:bookmarkStart w:id="4" w:name="page5"/>
    <w:bookmarkEnd w:id="4"/>
    <w:p>
      <w:pPr>
        <w:ind w:left="980" w:right="126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трансплантаций сердца – 16 (с 2013 по 2017 год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202 операции); трансплантаций печени – 32 (с 2013 по 2017 год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350 операций); трансплантаций почки – 145 (с 2013 по 2017 год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1657 операций); трансплантаций легких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2.</w:t>
      </w:r>
    </w:p>
    <w:p>
      <w:pPr>
        <w:spacing w:after="0" w:line="337" w:lineRule="exact"/>
        <w:rPr>
          <w:sz w:val="20"/>
          <w:szCs w:val="20"/>
          <w:color w:val="auto"/>
        </w:rPr>
      </w:pPr>
    </w:p>
    <w:p>
      <w:pPr>
        <w:jc w:val="both"/>
        <w:ind w:firstLine="702"/>
        <w:spacing w:after="0" w:line="237" w:lineRule="auto"/>
        <w:tabs>
          <w:tab w:leader="none" w:pos="1013" w:val="left"/>
        </w:tabs>
        <w:numPr>
          <w:ilvl w:val="0"/>
          <w:numId w:val="7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2018 году на базе учреждения здравоохранения «Могилевская областная больница» налажена работа по трансплантации почки. За 6 месяцев текущего года выполнено 8 трансплантаций и все успешны.</w:t>
      </w:r>
    </w:p>
    <w:p>
      <w:pPr>
        <w:spacing w:after="0" w:line="326" w:lineRule="exact"/>
        <w:rPr>
          <w:sz w:val="20"/>
          <w:szCs w:val="20"/>
          <w:color w:val="auto"/>
        </w:rPr>
      </w:pPr>
    </w:p>
    <w:p>
      <w:pPr>
        <w:ind w:left="7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u w:val="single" w:color="auto"/>
          <w:color w:val="auto"/>
        </w:rPr>
        <w:t>Развитие материальной базы здравоохранения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ind w:firstLine="702"/>
        <w:spacing w:after="0" w:line="234" w:lineRule="auto"/>
        <w:tabs>
          <w:tab w:leader="none" w:pos="1210" w:val="left"/>
        </w:tabs>
        <w:numPr>
          <w:ilvl w:val="0"/>
          <w:numId w:val="8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регионе продолжаются реконструкция и строительство объектов здравоохранения.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firstLine="708"/>
        <w:spacing w:after="0" w:line="235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 2017 год фактические затраты по укреплению материально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технической базы составили 19 699 186,91 рублей.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Введены в эксплуатацию четыре объекта: операционный блок УЗ «Могилевский областной онкологический диспансер»; лаборатория исследования пищевых продуктов в г.Могилеве; пищеблок для размещения цитологической лаборатории в г.Могилеве»; морг в г.Костюковичи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700"/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Завершен капитальный ремонт ряда объектов: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6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 УЗ «Кричевская ЦРБ», УЗ «Кличевская ЦРБ», УЗ «Белыничская ЦРБ», в УЗ «Могилевская центральная поликлиника», УЗ «Могилевская поликлиника №5», УЗ «Могилевская поликлиника №11» под кабинеты рентгенодиагностики,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700"/>
        <w:spacing w:after="0" w:line="236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ремонт кровли склада медицинского имущества в Осиповичском районе, замена больничного лифта УЗ «Мстиславская ЦРБ»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ремонт гематологического отделения УЗ «Могилевская детская областная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больница»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2"/>
        <w:spacing w:after="0" w:line="234" w:lineRule="auto"/>
        <w:tabs>
          <w:tab w:leader="none" w:pos="1166" w:val="left"/>
        </w:tabs>
        <w:numPr>
          <w:ilvl w:val="0"/>
          <w:numId w:val="8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первом полугодии 2018 года направлено средств на укрепление материально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технической базы организаций здравоохранения в сумме 5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084 126,40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рублей, в том числе: на капитальный ремонт зданий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313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755,72 рублей, капитальное строительство 3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787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064,0 рублей, приобретение оборудования 170 382,56 рублей. Кроме того, направлено средств на текущий ремонт зданий и сооружений 812 924,12 рублей.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7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Продолжаются работы на объектах:</w:t>
      </w:r>
    </w:p>
    <w:p>
      <w:pPr>
        <w:ind w:left="8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«Строительство терапевтического корпуса на 100 коек г. Осиповичи»;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both"/>
        <w:ind w:firstLine="852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«Реконструкция родильного дома УЗ «Могилевская городская больница скорой медицинской помощи по ул. Боткина, 2 в г. Могилеве»;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firstLine="852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«Реконструкция здания гаража на территории УЗ «Могилевский областной онкологический диспансер» в морфологический корпус с размещением гистологической и иммуногистохимической лабораторий».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Разрабатывается (корректируется) проектно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сметная документация, включая проектно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изыскательские работы на объектах «Реконструкция лечебного корпуса детской больницы с детской поликлиникой № 3 УЗ «Бобруйская городская детская больница» по ул. 50 лет Октября, 15 в г. Бобруйске»; «Реконструкция здания под размещение УЗ «Шкловский районный центр гигиены и эпидемиологии» по адресу ул. 70 год Вял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i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a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й Перамог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i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г. Шклове с благоустройством прилегающей территории».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5</w:t>
      </w:r>
    </w:p>
    <w:p>
      <w:pPr>
        <w:sectPr>
          <w:pgSz w:w="11900" w:h="16838" w:orient="portrait"/>
          <w:cols w:equalWidth="0" w:num="1">
            <w:col w:w="10200"/>
          </w:cols>
          <w:pgMar w:left="1000" w:top="858" w:right="706" w:bottom="137" w:gutter="0" w:footer="0" w:header="0"/>
        </w:sectPr>
      </w:pPr>
    </w:p>
    <w:bookmarkStart w:id="5" w:name="page6"/>
    <w:bookmarkEnd w:id="5"/>
    <w:p>
      <w:pPr>
        <w:jc w:val="both"/>
        <w:ind w:left="6" w:firstLine="708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Для совершенствования системы здравоохранения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решения организационных и управленческих проблем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в области реализуются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мероприятия по информатизации отрасли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 том числе разработка и внедрение единой информационно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аналитической системы сбора и обработки статистической медицинской информации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электронной истории болезни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электронного рецепта и паспорта пациента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стандартов для медицинских информационных систем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телемедицинских технологий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6" w:firstLine="708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Уже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41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организация здравоохранения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области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использует систему обращения электронных рецептов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 15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находятся в стадии подключения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Внедрение электронного рецепта позволяет минимизировать время на его оформление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исключить подделку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дублирование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избежать ошибок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усилить контроль приобретения лекарственных средств и оптимизировать расходы на оплату льготных рецептов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left="6" w:firstLine="702"/>
        <w:spacing w:after="0" w:line="236" w:lineRule="auto"/>
        <w:tabs>
          <w:tab w:leader="none" w:pos="1125" w:val="left"/>
        </w:tabs>
        <w:numPr>
          <w:ilvl w:val="1"/>
          <w:numId w:val="9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ряде организаций здравоохранения успешно используются и другие современные сервисы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электронные направления на различные исследования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компьютерные запись на прием к врачу и вызов врача на дом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электронные очереди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206" w:hanging="206"/>
        <w:spacing w:after="0"/>
        <w:tabs>
          <w:tab w:leader="none" w:pos="206" w:val="left"/>
        </w:tabs>
        <w:numPr>
          <w:ilvl w:val="0"/>
          <w:numId w:val="9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поликлиниках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2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2"/>
        <w:spacing w:after="0" w:line="237" w:lineRule="auto"/>
        <w:tabs>
          <w:tab w:leader="none" w:pos="1048" w:val="left"/>
        </w:tabs>
        <w:numPr>
          <w:ilvl w:val="1"/>
          <w:numId w:val="9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Беларуси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создана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единая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республиканская система телемедицинского консультирования для врачей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которая позволяет врачам учреждений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здравоохранения Могилевской области в сложных случаях получить консультацию от ведущих специалистов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7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8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Современное диагностическое оборудование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рентгенографическое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томографическое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лабораторное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кардиографическое и др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имеет выход информации в цифровом формате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Таким образом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результаты диагностических исследований при необходимости оперативно передаются в другую организацию здравоохранения для изучения разными врачами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специалистами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1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2"/>
        <w:spacing w:after="0" w:line="236" w:lineRule="auto"/>
        <w:tabs>
          <w:tab w:leader="none" w:pos="1051" w:val="left"/>
        </w:tabs>
        <w:numPr>
          <w:ilvl w:val="1"/>
          <w:numId w:val="9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перспективе планируется создать единую интернет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систему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 помощью которой пациент через личный кабинет сможет получить доступ к своей медицинской информации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осуществлять взаимодействие с лечащим врачом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8" w:lineRule="exact"/>
        <w:rPr>
          <w:sz w:val="20"/>
          <w:szCs w:val="20"/>
          <w:color w:val="auto"/>
        </w:rPr>
      </w:pPr>
    </w:p>
    <w:p>
      <w:pPr>
        <w:ind w:left="70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u w:val="single" w:color="auto"/>
          <w:color w:val="auto"/>
        </w:rPr>
        <w:t>Повышение качества медицинских услуг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ind w:left="6" w:firstLine="70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Каждый гражданин Республики Беларусь вправе получить весь спектр качественных медицинских услуг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left="6" w:firstLine="702"/>
        <w:spacing w:after="0" w:line="237" w:lineRule="auto"/>
        <w:tabs>
          <w:tab w:leader="none" w:pos="1046" w:val="left"/>
        </w:tabs>
        <w:numPr>
          <w:ilvl w:val="1"/>
          <w:numId w:val="10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целях снижения очередей в амбулаторно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поликлинических организациях области улучшена работа регистратур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внедрены принцип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одно окно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система предварительной записи на прием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лично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 телефону или в крупных городах через Интернет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установлены автоматизированные информационные системы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Справка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Регистратура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».</w:t>
      </w:r>
    </w:p>
    <w:p>
      <w:pPr>
        <w:spacing w:after="0" w:line="18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6" w:firstLine="708"/>
        <w:spacing w:after="0" w:line="235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Организована работа административного дежурного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который владеет оперативной информацией по графику работы врачей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специалистов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8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Сегодня предварительная запись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 том числе в субботние дни и через Интернет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проводится повсеместно без ограничения по желаемым пациентами срокам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последнее время запись на повторный прием осуществляется непосредственно в кабинете врача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706"/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Для решения проблемы очередей к узкопрофильным специалистам 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2016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года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206" w:hanging="206"/>
        <w:spacing w:after="0"/>
        <w:tabs>
          <w:tab w:leader="none" w:pos="206" w:val="left"/>
        </w:tabs>
        <w:numPr>
          <w:ilvl w:val="0"/>
          <w:numId w:val="10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стране начата масштабная подготовка врачей общей практики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обладающих всеми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jc w:val="center"/>
        <w:ind w:right="-5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6</w:t>
      </w:r>
    </w:p>
    <w:p>
      <w:pPr>
        <w:sectPr>
          <w:pgSz w:w="11900" w:h="16838" w:orient="portrait"/>
          <w:cols w:equalWidth="0" w:num="1">
            <w:col w:w="10206"/>
          </w:cols>
          <w:pgMar w:left="994" w:top="858" w:right="706" w:bottom="137" w:gutter="0" w:footer="0" w:header="0"/>
        </w:sectPr>
      </w:pPr>
    </w:p>
    <w:bookmarkStart w:id="6" w:name="page7"/>
    <w:bookmarkEnd w:id="6"/>
    <w:p>
      <w:pPr>
        <w:jc w:val="both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необходимыми практическими навыками для оказания медицинской помощи взрослым и детям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Внедрение этой должности вызвано необходимостью рационального распределения кадровых ресурсов в здравоохранении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firstLine="702"/>
        <w:spacing w:after="0" w:line="238" w:lineRule="auto"/>
        <w:tabs>
          <w:tab w:leader="none" w:pos="1011" w:val="left"/>
        </w:tabs>
        <w:numPr>
          <w:ilvl w:val="1"/>
          <w:numId w:val="11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целях повышения уровня доступности медицинской помощи населению с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2017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года работа территориальных терапевтических участков стала повсеместно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организовываться по принципу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команды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трехступенчатая система приема пациентов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врачом общей практики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помощником врача по амбулаторно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поликлинической помощи и медицинской сестрой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).</w:t>
      </w:r>
    </w:p>
    <w:p>
      <w:pPr>
        <w:spacing w:after="0" w:line="18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firstLine="702"/>
        <w:spacing w:after="0" w:line="233" w:lineRule="auto"/>
        <w:tabs>
          <w:tab w:leader="none" w:pos="1095" w:val="left"/>
        </w:tabs>
        <w:numPr>
          <w:ilvl w:val="1"/>
          <w:numId w:val="11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Республике Беларусь установлены минимальные сроки ожидания оказания медицинской помощи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</w:p>
    <w:p>
      <w:pPr>
        <w:ind w:left="720" w:hanging="366"/>
        <w:spacing w:after="0" w:line="238" w:lineRule="auto"/>
        <w:tabs>
          <w:tab w:leader="none" w:pos="720" w:val="left"/>
        </w:tabs>
        <w:numPr>
          <w:ilvl w:val="0"/>
          <w:numId w:val="11"/>
        </w:numPr>
        <w:rPr>
          <w:rFonts w:ascii="Symbol" w:cs="Symbol" w:eastAsia="Symbol" w:hAnsi="Symbol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экстренная помощь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момент обращения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136" w:lineRule="exact"/>
        <w:rPr>
          <w:sz w:val="20"/>
          <w:szCs w:val="20"/>
          <w:color w:val="auto"/>
        </w:rPr>
      </w:pPr>
    </w:p>
    <w:p>
      <w:pPr>
        <w:jc w:val="both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Справочно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По данным социологического опроса ИАЦ у абсолютного большинства населения республики нет претензий к работе скорой помощи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Недовольство высказали лишь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5,5%.</w:t>
      </w:r>
    </w:p>
    <w:p>
      <w:pPr>
        <w:ind w:left="720" w:hanging="368"/>
        <w:spacing w:after="0"/>
        <w:tabs>
          <w:tab w:leader="none" w:pos="720" w:val="left"/>
        </w:tabs>
        <w:numPr>
          <w:ilvl w:val="0"/>
          <w:numId w:val="12"/>
        </w:numPr>
        <w:rPr>
          <w:rFonts w:ascii="Symbol" w:cs="Symbol" w:eastAsia="Symbol" w:hAnsi="Symbol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доступность участковых врачей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 должна превышать одного дня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ind w:left="720" w:hanging="366"/>
        <w:spacing w:after="0"/>
        <w:tabs>
          <w:tab w:leader="none" w:pos="720" w:val="left"/>
        </w:tabs>
        <w:numPr>
          <w:ilvl w:val="0"/>
          <w:numId w:val="12"/>
        </w:numPr>
        <w:rPr>
          <w:rFonts w:ascii="Symbol" w:cs="Symbol" w:eastAsia="Symbol" w:hAnsi="Symbol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доступность узких специалистов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плановые приемы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от недели до месяца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ind w:left="720" w:hanging="366"/>
        <w:spacing w:after="0" w:line="238" w:lineRule="auto"/>
        <w:tabs>
          <w:tab w:leader="none" w:pos="720" w:val="left"/>
        </w:tabs>
        <w:numPr>
          <w:ilvl w:val="0"/>
          <w:numId w:val="12"/>
        </w:numPr>
        <w:rPr>
          <w:rFonts w:ascii="Symbol" w:cs="Symbol" w:eastAsia="Symbol" w:hAnsi="Symbol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экстренная госпитализация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незамедлительно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ind w:left="720" w:hanging="366"/>
        <w:spacing w:after="0"/>
        <w:tabs>
          <w:tab w:leader="none" w:pos="720" w:val="left"/>
        </w:tabs>
        <w:numPr>
          <w:ilvl w:val="0"/>
          <w:numId w:val="12"/>
        </w:numPr>
        <w:rPr>
          <w:rFonts w:ascii="Symbol" w:cs="Symbol" w:eastAsia="Symbol" w:hAnsi="Symbol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плановая госпитализация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строго по дате ее назначения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Для сравнения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в Испании срок ожидания приема у узкопрофильного специалиста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–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от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65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до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81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дня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;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в Великобритании срок ожидания начала лечения раковых больных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–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до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6 – 8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месяцев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;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в Канаде срок ожидания лечения от момента получение направления от терапевта по всем специализациям и всем видам помощи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срочной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несрочной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плановой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в среднем составляет около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18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недель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327" w:lineRule="exact"/>
        <w:rPr>
          <w:sz w:val="20"/>
          <w:szCs w:val="20"/>
          <w:color w:val="auto"/>
        </w:rPr>
      </w:pPr>
    </w:p>
    <w:p>
      <w:pPr>
        <w:ind w:left="7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u w:val="single" w:color="auto"/>
          <w:color w:val="auto"/>
        </w:rPr>
        <w:t>Фармацевтический рынок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Уровень здоровья населения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продолжительность и качество жизни во многом зависят от того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насколько полно удовлетворяются потребности граждан в лекарственных средствах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jc w:val="both"/>
        <w:ind w:firstLine="702"/>
        <w:spacing w:after="0" w:line="237" w:lineRule="auto"/>
        <w:tabs>
          <w:tab w:leader="none" w:pos="1018" w:val="left"/>
        </w:tabs>
        <w:numPr>
          <w:ilvl w:val="0"/>
          <w:numId w:val="13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области функционируют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411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аптек всех форм собственности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сельских населенных пунктах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где отсутствуют аптеки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розничная реализация лекарственных средств осуществляется медицинскими работниками фельдшерско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акушерских пунктов и амбулаторий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2"/>
        <w:spacing w:after="0" w:line="237" w:lineRule="auto"/>
        <w:tabs>
          <w:tab w:leader="none" w:pos="1011" w:val="left"/>
        </w:tabs>
        <w:numPr>
          <w:ilvl w:val="0"/>
          <w:numId w:val="13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республике зарегистрировано всего около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1,5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тыс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лекарственных средств отечественного производства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При этом за последние пять лет на внутренний рынок выведено около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700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новых отечественных лекарственных средств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6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Значительно расширен арсенал отечественных противоопухолевых лекарственных средств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которые являются одним из главных элементов импортозамещения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6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Справочно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.</w:t>
      </w:r>
    </w:p>
    <w:p>
      <w:pPr>
        <w:jc w:val="both"/>
        <w:ind w:firstLine="708"/>
        <w:spacing w:after="0" w:line="20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Основной проблемой в сфере здравоохранения и медицинского обслуживания население считает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высокие цены на лекарства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–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на это указали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57%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опрошенных ИАЦ в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I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квартале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2018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г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123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Цены на лекарства регулируются в соответствии с законодательством Республики Беларусь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Минздравом введены рекомендуемые предельные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7</w:t>
      </w:r>
    </w:p>
    <w:p>
      <w:pPr>
        <w:sectPr>
          <w:pgSz w:w="11900" w:h="16838" w:orient="portrait"/>
          <w:cols w:equalWidth="0" w:num="1">
            <w:col w:w="10200"/>
          </w:cols>
          <w:pgMar w:left="1000" w:top="858" w:right="706" w:bottom="137" w:gutter="0" w:footer="0" w:header="0"/>
        </w:sectPr>
      </w:pPr>
    </w:p>
    <w:bookmarkStart w:id="7" w:name="page8"/>
    <w:bookmarkEnd w:id="7"/>
    <w:p>
      <w:pPr>
        <w:jc w:val="both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розничные цены 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1385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торговых наименований отечественных и зарубежных лекарственных средств и обеспечен контроль за их соблюдением в аптеках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Эта мера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аналогичная введению прейскурантов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дополнительно снижает и сдерживает рост цен на лекарственные средства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сокращает разброс цен в аптеках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Между тем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проведенный в прошлом году сравнительный анализ уровня контрактных цен на лекарственные средства зарубежного производства по сравнению с сопредельными государствами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Россией и Польшей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выявил около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позиций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цены на которые при поставках в Беларусь были выше уровня цен для наших соседей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jc w:val="both"/>
        <w:ind w:firstLine="702"/>
        <w:spacing w:after="0" w:line="237" w:lineRule="auto"/>
        <w:tabs>
          <w:tab w:leader="none" w:pos="967" w:val="left"/>
        </w:tabs>
        <w:numPr>
          <w:ilvl w:val="0"/>
          <w:numId w:val="14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связи с этим Минздравом была проведена серия переговоров с зарубежными поставщиками и производителями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результате к настоящему времени получены предложения по снижению контрактных цен 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162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наименования лекарственных средств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Размер снижения составил от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10%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80%.</w:t>
      </w:r>
    </w:p>
    <w:p>
      <w:pPr>
        <w:spacing w:after="0" w:line="17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firstLine="708"/>
        <w:spacing w:after="0" w:line="234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Отечественные аналоги выгодно отличаются по цене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более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84%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занимают лекарственные средства со стоимостью до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рублей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).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firstLine="702"/>
        <w:spacing w:after="0" w:line="234" w:lineRule="auto"/>
        <w:tabs>
          <w:tab w:leader="none" w:pos="1133" w:val="left"/>
        </w:tabs>
        <w:numPr>
          <w:ilvl w:val="0"/>
          <w:numId w:val="14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аптеках обеспечен доступ населения к качественным лекарственным средствам любых ценовых категорий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Продолжается работа с зарубежными производителями лекарственных средств по увеличению количества прямых контрактов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снижению контрактных цен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совершенствованию регистрации цен на лекарственные препараты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6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Развиваются справочные веб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ресурсы о наличии и ценах на лекарственные средства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сайт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tabletka.by,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подраздел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Каталог белорусских лекарственных средств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сайта Минздрава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).</w:t>
      </w:r>
    </w:p>
    <w:p>
      <w:pPr>
        <w:spacing w:after="0" w:line="328" w:lineRule="exact"/>
        <w:rPr>
          <w:sz w:val="20"/>
          <w:szCs w:val="20"/>
          <w:color w:val="auto"/>
        </w:rPr>
      </w:pPr>
    </w:p>
    <w:p>
      <w:pPr>
        <w:ind w:left="7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u w:val="single" w:color="auto"/>
          <w:color w:val="auto"/>
        </w:rPr>
        <w:t>Развитие рынка платных медицинских услуг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Платные медицинские услуги оказываются гражданам Беларуси на добровольной основе сверх гарантированного государством объема бесплатной медицинской помощи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2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Справочно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Предоставление платных медицинских услуг регулируется постановлением Совета Министров Республики Беларусь от 10 февраля 2009 г. № 182 «Об оказании платных медицинских услуг государственными учреждениями здравоохранения».</w:t>
      </w:r>
    </w:p>
    <w:p>
      <w:pPr>
        <w:spacing w:after="0" w:line="339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Объем платных медицинских услуг гражданам Республики Беларусь в Могилевской области 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году составил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39 341,1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тыс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рублей</w:t>
      </w:r>
      <w:r>
        <w:rPr>
          <w:rFonts w:ascii="Calibri" w:cs="Calibri" w:eastAsia="Calibri" w:hAnsi="Calibri"/>
          <w:sz w:val="28"/>
          <w:szCs w:val="28"/>
          <w:color w:val="auto"/>
        </w:rPr>
        <w:t>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Важным элементом системы социальной защиты населения является добровольное медицинское страхование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далее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ДМС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ДМС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один из наиболее эффективных способов гарантированного получения качественной медицинской помощи при наступлении расстройства здоровья за счет средств страховой компании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Развитие рынка платной медицины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 том числе наращивание объемов экспорта таких услуг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позволяет снизить нагрузку на бюджет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также способствует формированию оптимальной системы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сочетающей оказание бесплатных и платных медицинских услуг населению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связи с этим в системе здравоохранения актуальным является развитие государственно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частного партнерства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 примеру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</w:p>
    <w:p>
      <w:pPr>
        <w:spacing w:after="0" w:line="341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8</w:t>
      </w:r>
    </w:p>
    <w:p>
      <w:pPr>
        <w:sectPr>
          <w:pgSz w:w="11900" w:h="16838" w:orient="portrait"/>
          <w:cols w:equalWidth="0" w:num="1">
            <w:col w:w="10200"/>
          </w:cols>
          <w:pgMar w:left="1000" w:top="858" w:right="706" w:bottom="137" w:gutter="0" w:footer="0" w:header="0"/>
        </w:sectPr>
      </w:pPr>
    </w:p>
    <w:bookmarkStart w:id="8" w:name="page9"/>
    <w:bookmarkEnd w:id="8"/>
    <w:p>
      <w:pPr>
        <w:ind w:left="6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работникам многих предприятий уже оплачиваются некоторые виды диагностики или лечения в государственных организациях здравоохранения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).</w:t>
      </w:r>
    </w:p>
    <w:p>
      <w:pPr>
        <w:spacing w:after="0" w:line="342" w:lineRule="exact"/>
        <w:rPr>
          <w:sz w:val="20"/>
          <w:szCs w:val="20"/>
          <w:color w:val="auto"/>
        </w:rPr>
      </w:pPr>
    </w:p>
    <w:p>
      <w:pPr>
        <w:ind w:left="6" w:firstLine="708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u w:val="single" w:color="auto"/>
          <w:color w:val="auto"/>
        </w:rPr>
        <w:t>Перспективы дальнейшего повышения качества и доступности услуг здравоохранения в Могилевской области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jc w:val="both"/>
        <w:ind w:left="6" w:firstLine="702"/>
        <w:spacing w:after="0" w:line="238" w:lineRule="auto"/>
        <w:tabs>
          <w:tab w:leader="none" w:pos="1120" w:val="left"/>
        </w:tabs>
        <w:numPr>
          <w:ilvl w:val="2"/>
          <w:numId w:val="15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своем докладе на пятом Всебелорусском народном собрании Глава государства 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Г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Лукашенко особо отметил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Дальнейшее развитие всех звеньев здравоохранения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от ФАПа до центров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находится под особым контролем руководства страны и местных органов власти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От состояния этой сферы во многом зависит обеспечение продолжительной и активной жизни людей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залогом которой является здоровье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2020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году ожидаемая средняя продолжительность жизни увеличится и превысит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75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».</w:t>
      </w:r>
    </w:p>
    <w:p>
      <w:pPr>
        <w:spacing w:after="0" w:line="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706"/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Стратегическими приоритетами в области охраны здоровья являются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</w:p>
    <w:p>
      <w:pPr>
        <w:spacing w:after="0" w:line="3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726" w:hanging="366"/>
        <w:spacing w:after="0" w:line="227" w:lineRule="auto"/>
        <w:tabs>
          <w:tab w:leader="none" w:pos="726" w:val="left"/>
        </w:tabs>
        <w:numPr>
          <w:ilvl w:val="1"/>
          <w:numId w:val="15"/>
        </w:numPr>
        <w:rPr>
          <w:rFonts w:ascii="Symbol" w:cs="Symbol" w:eastAsia="Symbol" w:hAnsi="Symbol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совершенствование системы общественного здравоохранения с акцентом на развитие профилактического направления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34" w:lineRule="exact"/>
        <w:rPr>
          <w:rFonts w:ascii="Symbol" w:cs="Symbol" w:eastAsia="Symbol" w:hAnsi="Symbol"/>
          <w:sz w:val="28"/>
          <w:szCs w:val="28"/>
          <w:color w:val="auto"/>
        </w:rPr>
      </w:pPr>
    </w:p>
    <w:p>
      <w:pPr>
        <w:ind w:left="726" w:hanging="366"/>
        <w:spacing w:after="0" w:line="228" w:lineRule="auto"/>
        <w:tabs>
          <w:tab w:leader="none" w:pos="726" w:val="left"/>
        </w:tabs>
        <w:numPr>
          <w:ilvl w:val="1"/>
          <w:numId w:val="15"/>
        </w:numPr>
        <w:rPr>
          <w:rFonts w:ascii="Symbol" w:cs="Symbol" w:eastAsia="Symbol" w:hAnsi="Symbol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совершенствование системы менеджмента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том числе управления финансовыми и человеческими ресурсами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ind w:left="726" w:hanging="366"/>
        <w:spacing w:after="0" w:line="238" w:lineRule="auto"/>
        <w:tabs>
          <w:tab w:leader="none" w:pos="726" w:val="left"/>
        </w:tabs>
        <w:numPr>
          <w:ilvl w:val="1"/>
          <w:numId w:val="15"/>
        </w:numPr>
        <w:rPr>
          <w:rFonts w:ascii="Symbol" w:cs="Symbol" w:eastAsia="Symbol" w:hAnsi="Symbol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создание инновационной модели медицинской науки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35" w:lineRule="exact"/>
        <w:rPr>
          <w:rFonts w:ascii="Symbol" w:cs="Symbol" w:eastAsia="Symbol" w:hAnsi="Symbol"/>
          <w:sz w:val="28"/>
          <w:szCs w:val="28"/>
          <w:color w:val="auto"/>
        </w:rPr>
      </w:pPr>
    </w:p>
    <w:p>
      <w:pPr>
        <w:ind w:left="726" w:hanging="366"/>
        <w:spacing w:after="0" w:line="227" w:lineRule="auto"/>
        <w:tabs>
          <w:tab w:leader="none" w:pos="726" w:val="left"/>
        </w:tabs>
        <w:numPr>
          <w:ilvl w:val="1"/>
          <w:numId w:val="15"/>
        </w:numPr>
        <w:rPr>
          <w:rFonts w:ascii="Symbol" w:cs="Symbol" w:eastAsia="Symbol" w:hAnsi="Symbol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развитие фармацевтической промышленности и регулирование обращения лекарственных средств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33" w:lineRule="exact"/>
        <w:rPr>
          <w:rFonts w:ascii="Symbol" w:cs="Symbol" w:eastAsia="Symbol" w:hAnsi="Symbol"/>
          <w:sz w:val="28"/>
          <w:szCs w:val="28"/>
          <w:color w:val="auto"/>
        </w:rPr>
      </w:pPr>
    </w:p>
    <w:p>
      <w:pPr>
        <w:jc w:val="both"/>
        <w:ind w:left="726" w:hanging="366"/>
        <w:spacing w:after="0" w:line="231" w:lineRule="auto"/>
        <w:tabs>
          <w:tab w:leader="none" w:pos="726" w:val="left"/>
        </w:tabs>
        <w:numPr>
          <w:ilvl w:val="1"/>
          <w:numId w:val="15"/>
        </w:numPr>
        <w:rPr>
          <w:rFonts w:ascii="Symbol" w:cs="Symbol" w:eastAsia="Symbol" w:hAnsi="Symbol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совершенствование системы электронных коммуникаций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уровня безопасности пациентов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экономической эффективности медицинской помощи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36" w:lineRule="exact"/>
        <w:rPr>
          <w:rFonts w:ascii="Symbol" w:cs="Symbol" w:eastAsia="Symbol" w:hAnsi="Symbol"/>
          <w:sz w:val="28"/>
          <w:szCs w:val="28"/>
          <w:color w:val="auto"/>
        </w:rPr>
      </w:pPr>
    </w:p>
    <w:p>
      <w:pPr>
        <w:ind w:left="726" w:hanging="366"/>
        <w:spacing w:after="0" w:line="228" w:lineRule="auto"/>
        <w:tabs>
          <w:tab w:leader="none" w:pos="726" w:val="left"/>
        </w:tabs>
        <w:numPr>
          <w:ilvl w:val="1"/>
          <w:numId w:val="15"/>
        </w:numPr>
        <w:rPr>
          <w:rFonts w:ascii="Symbol" w:cs="Symbol" w:eastAsia="Symbol" w:hAnsi="Symbol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расширение и углубление партнерства в интересах здоровья и повышение роли Республики Беларусь в глобальном здравоохранении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ind w:left="706"/>
        <w:spacing w:after="0"/>
        <w:rPr>
          <w:rFonts w:ascii="Symbol" w:cs="Symbol" w:eastAsia="Symbol" w:hAnsi="Symbol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Важнейшими задачами являются профилактика неинфекционных заболеваний</w:t>
      </w:r>
    </w:p>
    <w:p>
      <w:pPr>
        <w:spacing w:after="0" w:line="13" w:lineRule="exact"/>
        <w:rPr>
          <w:rFonts w:ascii="Symbol" w:cs="Symbol" w:eastAsia="Symbol" w:hAnsi="Symbol"/>
          <w:sz w:val="28"/>
          <w:szCs w:val="28"/>
          <w:color w:val="auto"/>
        </w:rPr>
      </w:pPr>
    </w:p>
    <w:p>
      <w:pPr>
        <w:jc w:val="both"/>
        <w:ind w:left="6" w:hanging="6"/>
        <w:spacing w:after="0" w:line="236" w:lineRule="auto"/>
        <w:tabs>
          <w:tab w:leader="none" w:pos="469" w:val="left"/>
        </w:tabs>
        <w:numPr>
          <w:ilvl w:val="0"/>
          <w:numId w:val="15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снижение влияния на здоровье основных факторов риска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курение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нерациональное питание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низкая физическая активность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злоупотребление алкоголем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).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8"/>
        <w:spacing w:after="0" w:line="234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Дальнейшее развитие получат межрайонные центры для оказания медицинской помощи пациентам с острым нарушением мозгового кровообращения</w:t>
      </w:r>
    </w:p>
    <w:p>
      <w:pPr>
        <w:spacing w:after="0" w:line="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226" w:hanging="226"/>
        <w:spacing w:after="0"/>
        <w:tabs>
          <w:tab w:leader="none" w:pos="226" w:val="left"/>
        </w:tabs>
        <w:numPr>
          <w:ilvl w:val="0"/>
          <w:numId w:val="15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сердечными заболеваниями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улучшится их материально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техническая база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2"/>
        <w:spacing w:after="0" w:line="237" w:lineRule="auto"/>
        <w:tabs>
          <w:tab w:leader="none" w:pos="988" w:val="left"/>
        </w:tabs>
        <w:numPr>
          <w:ilvl w:val="2"/>
          <w:numId w:val="15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регионе особое внимание будет уделяться проведению программ скрининга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массовых обследований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злокачественных новообразований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представляющих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угрозу жизни в молодом возрасте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рака предстательной железы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шейки матки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молочной железы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рака кишечника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).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2"/>
        <w:spacing w:after="0" w:line="237" w:lineRule="auto"/>
        <w:tabs>
          <w:tab w:leader="none" w:pos="1031" w:val="left"/>
        </w:tabs>
        <w:numPr>
          <w:ilvl w:val="2"/>
          <w:numId w:val="15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целях предупреждения смертности населения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особенно трудоспособного возраста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от социально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значимых заболеваний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рассеянного склероза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туберкулеза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вирусного гепатита С и ВИЧ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 счет средств бюджета будет продолжено проведение контролируемого лечения таких пациентов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7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8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Разрабатываются новые и совершенствуются имеющиеся технологии и методы медицинской реабилитации с акцентом на раннюю реабилитацию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продолжается дооснащение созданных в регионах центров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больниц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медицинской реабилитации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отделений медицинской реабилитации организаций здравоохранения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6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8"/>
        <w:spacing w:after="0" w:line="234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 поручению Главы государства и в соответствии с Государственной программой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Здоровье народа и демографическая безопасность Республики</w:t>
      </w:r>
    </w:p>
    <w:p>
      <w:pPr>
        <w:spacing w:after="0" w:line="40" w:lineRule="exact"/>
        <w:rPr>
          <w:sz w:val="20"/>
          <w:szCs w:val="20"/>
          <w:color w:val="auto"/>
        </w:rPr>
      </w:pPr>
    </w:p>
    <w:p>
      <w:pPr>
        <w:jc w:val="center"/>
        <w:ind w:right="-5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9</w:t>
      </w:r>
    </w:p>
    <w:p>
      <w:pPr>
        <w:sectPr>
          <w:pgSz w:w="11900" w:h="16838" w:orient="portrait"/>
          <w:cols w:equalWidth="0" w:num="1">
            <w:col w:w="10206"/>
          </w:cols>
          <w:pgMar w:left="994" w:top="858" w:right="706" w:bottom="137" w:gutter="0" w:footer="0" w:header="0"/>
        </w:sectPr>
      </w:pPr>
    </w:p>
    <w:bookmarkStart w:id="9" w:name="page10"/>
    <w:bookmarkEnd w:id="9"/>
    <w:p>
      <w:pPr>
        <w:jc w:val="both"/>
        <w:ind w:left="6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Беларусь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2016 – 2020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годы 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2020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году необходимо осуществить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100%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переход от участкового врача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терапевта к врачу общей практики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left="6" w:firstLine="708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Реализация мер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предусмотренных утвержденной в марте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2018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Концепцией развития системы электронного здравоохранения на период до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2022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позволит перейти к ведению медицинских документов в электронном виде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решить вопросы конфиденциальности и защиты медицинской информации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поднять на качественно новую ступень преемственность в оказании медпомощи между организациями здравоохранения всех уровней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повысить оперативность принятия решений по диагностике и лечению пациентов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повысить эффективность работы медицинского персонала и эффективность системы здравоохранения в целом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center"/>
        <w:ind w:right="-5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****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jc w:val="both"/>
        <w:ind w:left="6" w:firstLine="708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Президент Республики Беларусь 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Г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Лукашенко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во время посещения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24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ноября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Буда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Кошелевской центральной районной больницы Гомельской области обратил внимание на необходимость обеспечения доступности медицинских услуг для каждого человека вне зависимости от того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где он живет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большом городе или маленьком населенном пункте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Наряду с этим Глава государства потребовал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Всѐ должно быть оптимально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 всему нужно относиться по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хозяйски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6" w:firstLine="70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Государство по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прежнему будет уделять большое внимание развитию здравоохранения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заверил белорусский лидер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ind w:left="546" w:right="560" w:firstLine="476"/>
        <w:spacing w:after="0" w:line="234" w:lineRule="auto"/>
        <w:tabs>
          <w:tab w:leader="none" w:pos="1303" w:val="left"/>
        </w:tabs>
        <w:numPr>
          <w:ilvl w:val="0"/>
          <w:numId w:val="16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СТРОИТЕЛЬСТВЕ ЖИЛЬЯ В МОГИЛЕВСКОЙ ОБЛАСТИ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ГОСУДАРСТВЕННАЯ ПОДДЕРЖКА ГРАЖДАН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НУЖДАЮЩИХСЯ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</w:p>
    <w:p>
      <w:pPr>
        <w:ind w:left="2486" w:hanging="259"/>
        <w:spacing w:after="0"/>
        <w:tabs>
          <w:tab w:leader="none" w:pos="2486" w:val="left"/>
        </w:tabs>
        <w:numPr>
          <w:ilvl w:val="1"/>
          <w:numId w:val="16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УЛУЧШЕНИИ ЖИЛИЩНЫХ УСЛОВИЙ</w:t>
      </w:r>
    </w:p>
    <w:p>
      <w:pPr>
        <w:spacing w:after="0" w:line="330" w:lineRule="exact"/>
        <w:rPr>
          <w:sz w:val="20"/>
          <w:szCs w:val="20"/>
          <w:color w:val="auto"/>
        </w:rPr>
      </w:pPr>
    </w:p>
    <w:p>
      <w:pPr>
        <w:jc w:val="both"/>
        <w:ind w:left="6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Реализация государственной политики в области жилищного строительства направлена на создание условий для удовлетворения гражданами потребности в доступном и комфортном жилье согласно их индивидуальным запросам и финансовым возможностям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left="6"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Создание комфортного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долговечного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экономичного по содержанию и обслуживанию жилищного фонда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способного удовлетворять жилищные потребности нынешнего и будущих поколений граждан и обеспечивать доступность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26" w:hanging="226"/>
        <w:spacing w:after="0"/>
        <w:tabs>
          <w:tab w:leader="none" w:pos="226" w:val="left"/>
        </w:tabs>
        <w:numPr>
          <w:ilvl w:val="0"/>
          <w:numId w:val="17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приобретении жилья всех слоев населения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развитие жилищного строительства с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/>
        <w:spacing w:after="0" w:line="236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преимущественным использованием средств внебюджетных источников финансирования и долгосрочных форм кредитования являются приоритетными направлениями социально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экономического развития страны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8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Развитие жилищного строительства проходит в соответствии с общей концепцией развития экономики страны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предусматривающей сокращение доли бюджетного финансирования и расширение использования внебюджетных источников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7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2"/>
        <w:spacing w:after="0" w:line="238" w:lineRule="auto"/>
        <w:tabs>
          <w:tab w:leader="none" w:pos="991" w:val="left"/>
        </w:tabs>
        <w:numPr>
          <w:ilvl w:val="1"/>
          <w:numId w:val="17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2017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году в Могилевской области за счет всех источников финансирования введено в эксплуатацию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280,633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тыс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метров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том числе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49,856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тыс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метров с государственной поддержкой 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20,08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тыс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метров жилых помещений коммерческого использования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Построено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423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квартиры для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399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многодетных семей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 134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квартиры для граждан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проживающих в ветхих и аварийных жилых домах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признанных непригодными для проживания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 517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квартир социального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3" w:lineRule="exact"/>
        <w:rPr>
          <w:sz w:val="20"/>
          <w:szCs w:val="20"/>
          <w:color w:val="auto"/>
        </w:rPr>
      </w:pPr>
    </w:p>
    <w:p>
      <w:pPr>
        <w:jc w:val="center"/>
        <w:ind w:right="-5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10</w:t>
      </w:r>
    </w:p>
    <w:p>
      <w:pPr>
        <w:sectPr>
          <w:pgSz w:w="11900" w:h="16838" w:orient="portrait"/>
          <w:cols w:equalWidth="0" w:num="1">
            <w:col w:w="10206"/>
          </w:cols>
          <w:pgMar w:left="994" w:top="858" w:right="706" w:bottom="137" w:gutter="0" w:footer="0" w:header="0"/>
        </w:sectPr>
      </w:pPr>
    </w:p>
    <w:bookmarkStart w:id="10" w:name="page11"/>
    <w:bookmarkEnd w:id="10"/>
    <w:p>
      <w:pPr>
        <w:ind w:left="6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пользования; 35 жилых домов (квартир) в сельскохозяйственных организациях области.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6" w:firstLine="702"/>
        <w:spacing w:after="0" w:line="234" w:lineRule="auto"/>
        <w:tabs>
          <w:tab w:leader="none" w:pos="988" w:val="left"/>
        </w:tabs>
        <w:numPr>
          <w:ilvl w:val="0"/>
          <w:numId w:val="18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индивидуальном жилищном строительстве введено в эксплуатацию 107,305 тыс.кв.метров жилых домов.</w:t>
      </w:r>
    </w:p>
    <w:p>
      <w:pPr>
        <w:spacing w:after="0" w:line="2" w:lineRule="exact"/>
        <w:rPr>
          <w:sz w:val="20"/>
          <w:szCs w:val="20"/>
          <w:color w:val="auto"/>
        </w:rPr>
      </w:pPr>
    </w:p>
    <w:tbl>
      <w:tblPr>
        <w:tblLayout w:type="fixed"/>
        <w:tblInd w:w="6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22"/>
        </w:trPr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За</w:t>
            </w:r>
          </w:p>
        </w:tc>
        <w:tc>
          <w:tcPr>
            <w:tcW w:w="1860" w:type="dxa"/>
            <w:vAlign w:val="bottom"/>
            <w:gridSpan w:val="2"/>
          </w:tcPr>
          <w:p>
            <w:pPr>
              <w:jc w:val="right"/>
              <w:ind w:righ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январь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-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июнь</w:t>
            </w:r>
          </w:p>
        </w:tc>
        <w:tc>
          <w:tcPr>
            <w:tcW w:w="7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2018</w:t>
            </w:r>
          </w:p>
        </w:tc>
        <w:tc>
          <w:tcPr>
            <w:tcW w:w="124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года   в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00" w:type="dxa"/>
            <w:vAlign w:val="bottom"/>
            <w:gridSpan w:val="2"/>
          </w:tcPr>
          <w:p>
            <w:pPr>
              <w:jc w:val="right"/>
              <w:ind w:righ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области</w:t>
            </w:r>
          </w:p>
        </w:tc>
        <w:tc>
          <w:tcPr>
            <w:tcW w:w="176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введено   в</w:t>
            </w:r>
          </w:p>
        </w:tc>
        <w:tc>
          <w:tcPr>
            <w:tcW w:w="1720" w:type="dxa"/>
            <w:vAlign w:val="bottom"/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эксплуатацию</w:t>
            </w:r>
          </w:p>
        </w:tc>
      </w:tr>
      <w:tr>
        <w:trPr>
          <w:trHeight w:val="322"/>
        </w:trPr>
        <w:tc>
          <w:tcPr>
            <w:tcW w:w="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120,0</w:t>
            </w:r>
          </w:p>
        </w:tc>
        <w:tc>
          <w:tcPr>
            <w:tcW w:w="1900" w:type="dxa"/>
            <w:vAlign w:val="bottom"/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тыс.кв.метров</w:t>
            </w:r>
          </w:p>
        </w:tc>
        <w:tc>
          <w:tcPr>
            <w:tcW w:w="1340" w:type="dxa"/>
            <w:vAlign w:val="bottom"/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(годовое</w:t>
            </w:r>
          </w:p>
        </w:tc>
        <w:tc>
          <w:tcPr>
            <w:tcW w:w="12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задание</w:t>
            </w:r>
          </w:p>
        </w:tc>
        <w:tc>
          <w:tcPr>
            <w:tcW w:w="5060" w:type="dxa"/>
            <w:vAlign w:val="bottom"/>
            <w:gridSpan w:val="6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–  327,0  тыс.кв.метров),  в  том  числе</w:t>
            </w:r>
          </w:p>
        </w:tc>
      </w:tr>
      <w:tr>
        <w:trPr>
          <w:trHeight w:val="324"/>
        </w:trPr>
        <w:tc>
          <w:tcPr>
            <w:tcW w:w="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39,0</w:t>
            </w:r>
          </w:p>
        </w:tc>
        <w:tc>
          <w:tcPr>
            <w:tcW w:w="1900" w:type="dxa"/>
            <w:vAlign w:val="bottom"/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тыс.кв.метров</w:t>
            </w:r>
          </w:p>
        </w:tc>
        <w:tc>
          <w:tcPr>
            <w:tcW w:w="600" w:type="dxa"/>
            <w:vAlign w:val="bottom"/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с</w:t>
            </w:r>
          </w:p>
        </w:tc>
        <w:tc>
          <w:tcPr>
            <w:tcW w:w="2260" w:type="dxa"/>
            <w:vAlign w:val="bottom"/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государственной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6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поддержкой   (годовое</w:t>
            </w:r>
          </w:p>
        </w:tc>
        <w:tc>
          <w:tcPr>
            <w:tcW w:w="1720" w:type="dxa"/>
            <w:vAlign w:val="bottom"/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задание   –</w:t>
            </w:r>
          </w:p>
        </w:tc>
      </w:tr>
      <w:tr>
        <w:trPr>
          <w:trHeight w:val="322"/>
        </w:trPr>
        <w:tc>
          <w:tcPr>
            <w:tcW w:w="256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85,8 тыс.кв.метров).</w:t>
            </w: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0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Построено</w:t>
            </w:r>
          </w:p>
        </w:tc>
        <w:tc>
          <w:tcPr>
            <w:tcW w:w="6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385</w:t>
            </w:r>
          </w:p>
        </w:tc>
        <w:tc>
          <w:tcPr>
            <w:tcW w:w="1980" w:type="dxa"/>
            <w:vAlign w:val="bottom"/>
            <w:gridSpan w:val="2"/>
          </w:tcPr>
          <w:p>
            <w:pPr>
              <w:ind w:left="4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квартир</w:t>
            </w:r>
          </w:p>
        </w:tc>
        <w:tc>
          <w:tcPr>
            <w:tcW w:w="48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для</w:t>
            </w:r>
          </w:p>
        </w:tc>
        <w:tc>
          <w:tcPr>
            <w:tcW w:w="11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353</w:t>
            </w:r>
          </w:p>
        </w:tc>
        <w:tc>
          <w:tcPr>
            <w:tcW w:w="2580" w:type="dxa"/>
            <w:vAlign w:val="bottom"/>
            <w:gridSpan w:val="2"/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многодетных</w:t>
            </w:r>
          </w:p>
        </w:tc>
        <w:tc>
          <w:tcPr>
            <w:tcW w:w="9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семей;</w:t>
            </w:r>
          </w:p>
        </w:tc>
      </w:tr>
      <w:tr>
        <w:trPr>
          <w:trHeight w:val="322"/>
        </w:trPr>
        <w:tc>
          <w:tcPr>
            <w:tcW w:w="130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6  квартир</w:t>
            </w:r>
          </w:p>
        </w:tc>
        <w:tc>
          <w:tcPr>
            <w:tcW w:w="1860" w:type="dxa"/>
            <w:vAlign w:val="bottom"/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для  граждан,</w:t>
            </w:r>
          </w:p>
        </w:tc>
        <w:tc>
          <w:tcPr>
            <w:tcW w:w="1980" w:type="dxa"/>
            <w:vAlign w:val="bottom"/>
            <w:gridSpan w:val="2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проживающих</w:t>
            </w:r>
          </w:p>
        </w:tc>
        <w:tc>
          <w:tcPr>
            <w:tcW w:w="2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в</w:t>
            </w:r>
          </w:p>
        </w:tc>
        <w:tc>
          <w:tcPr>
            <w:tcW w:w="1300" w:type="dxa"/>
            <w:vAlign w:val="bottom"/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ветхих  и</w:t>
            </w:r>
          </w:p>
        </w:tc>
        <w:tc>
          <w:tcPr>
            <w:tcW w:w="2580" w:type="dxa"/>
            <w:vAlign w:val="bottom"/>
            <w:gridSpan w:val="2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аварийных  жилых</w:t>
            </w:r>
          </w:p>
        </w:tc>
        <w:tc>
          <w:tcPr>
            <w:tcW w:w="9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домах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;</w:t>
            </w:r>
          </w:p>
        </w:tc>
      </w:tr>
    </w:tbl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both"/>
        <w:ind w:left="6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31 квартира социального пользования; 9 жилых домов (квартир) в сельскохозяйственных организациях области. В индивидуальном жилищном строительстве введено в эксплуатацию 47,2 тыс.кв.метров жилых домов.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left="6" w:firstLine="72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Государственная поддержка граждан в Республике Беларусь осуществляется в соответствии с Указами Президента Республики Беларусь от 6 января 2012 № 13 «О некоторых вопросах предоставления гражданам государственной поддержки при строительстве (реконструкции) или приобретении жилых помещений» (далее – Указ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"/>
        <w:spacing w:after="0"/>
        <w:tabs>
          <w:tab w:leader="none" w:pos="1346" w:val="left"/>
          <w:tab w:leader="none" w:pos="2806" w:val="left"/>
          <w:tab w:leader="none" w:pos="4046" w:val="left"/>
          <w:tab w:leader="none" w:pos="5406" w:val="left"/>
          <w:tab w:leader="none" w:pos="6626" w:val="left"/>
          <w:tab w:leader="none" w:pos="8346" w:val="left"/>
          <w:tab w:leader="none" w:pos="10006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№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13)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от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4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июля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2017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г.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6" w:hanging="6"/>
        <w:spacing w:after="0" w:line="235" w:lineRule="auto"/>
        <w:tabs>
          <w:tab w:leader="none" w:pos="368" w:val="left"/>
        </w:tabs>
        <w:numPr>
          <w:ilvl w:val="0"/>
          <w:numId w:val="19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240 «О государственной поддержке граждан при строительстве (реконструкции) жилых помещений» (далее – Указ № 240).</w:t>
      </w:r>
    </w:p>
    <w:p>
      <w:pPr>
        <w:spacing w:after="0" w:line="336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14"/>
        <w:spacing w:after="0" w:line="239" w:lineRule="auto"/>
        <w:tabs>
          <w:tab w:leader="none" w:pos="998" w:val="left"/>
        </w:tabs>
        <w:numPr>
          <w:ilvl w:val="2"/>
          <w:numId w:val="19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соответствии с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Указом №13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граждане, состоящие на учете нуждающихся в улучшении жилищных условий, в том числе многодетные семьи, имеют право на получение льготного кредита на строительство (реконструкцию) или приобретение жилых помещений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в пределах средств, направляемых на цели льготного кредитования и в порядке очередности исходя из времени принятия на жилищный учет.</w:t>
      </w:r>
    </w:p>
    <w:p>
      <w:pPr>
        <w:spacing w:after="0" w:line="8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6" w:firstLine="720"/>
        <w:spacing w:after="0" w:line="234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Предоставление льготных кредитов и одноразовых субсидий осуществляется с соблюдением принципа одноразовости получения государственной поддержки.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2"/>
        <w:spacing w:after="0" w:line="238" w:lineRule="auto"/>
        <w:tabs>
          <w:tab w:leader="none" w:pos="1027" w:val="left"/>
        </w:tabs>
        <w:numPr>
          <w:ilvl w:val="1"/>
          <w:numId w:val="19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целях безусловного соблюдения норм Указа № 13 в списки граждан на получение льготных кредитов в первоочередном порядке включаются все многодетные семьи, имеющие четверых несовершеннолетних детей или состоящие на учете нуждающихся в улучшении жилищных условий более трех лет, изъявившие желание улучшить жилищные условия.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8"/>
        <w:spacing w:after="0" w:line="239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Максимальный размер льготного кредита на строительство (реконструкцию) жилого помещения определяется по нормируемым размерам общей площади жилого помещения, с учетом нормативов общей площади строящегося (реконструируемого) жилого помещения, и по стоимости 1 кв. метра общей площади строящегося (реконструируемого) жилого помещения, но не превышающей предельный </w:t>
      </w:r>
      <w:hyperlink r:id="rId12">
        <w:r>
          <w:rPr>
            <w:rFonts w:ascii="Times New Roman" w:cs="Times New Roman" w:eastAsia="Times New Roman" w:hAnsi="Times New Roman"/>
            <w:sz w:val="28"/>
            <w:szCs w:val="28"/>
            <w:color w:val="auto"/>
          </w:rPr>
          <w:t xml:space="preserve">норматив </w:t>
        </w:r>
      </w:hyperlink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стоимости 1 кв. метра общей площади жилого помещения, определяемый Советом Министров Республики Беларусь (в 2018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718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рублей), и не должен превышать 90 процентов (для многодетных семей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- 100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процентов) стоимости строительства (реконструкции) нормируемых размеров общей площади жилого помещения, принимаемой в расчет для определения размера льготного кредита.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jc w:val="center"/>
        <w:ind w:right="-5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11</w:t>
      </w:r>
    </w:p>
    <w:p>
      <w:pPr>
        <w:sectPr>
          <w:pgSz w:w="11900" w:h="16838" w:orient="portrait"/>
          <w:cols w:equalWidth="0" w:num="1">
            <w:col w:w="10206"/>
          </w:cols>
          <w:pgMar w:left="994" w:top="858" w:right="706" w:bottom="137" w:gutter="0" w:footer="0" w:header="0"/>
        </w:sectPr>
      </w:pPr>
    </w:p>
    <w:bookmarkStart w:id="11" w:name="page12"/>
    <w:bookmarkEnd w:id="11"/>
    <w:p>
      <w:pPr>
        <w:jc w:val="both"/>
        <w:ind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Максимальный срок, на который предоставляются льготные кредиты, не должен превышать 20 лет (для многодетных семей, детей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сирот и детей, оставшихся без попечения родителей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40 лет).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Нормативы общей площади строящегося (реконструируемого) жилого помещения для определения величины льготного кредита устанавливаются в размере 20 кв. метров на одного члена семьи (при строительстве для одного человека однокомнатной квартиры, одноквартирного жилого дома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30 кв. метров), а для граждан, постоянно проживающих и работающих в сельских населенных пунктах и строящих (реконструирующих) в них одноквартирные или блокированные жилые дома,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30 кв. метров (при строительстве для одного человека одноквартирного жилого дома или однокомнатной квартиры в блокированном жилом доме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44 кв. метра).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firstLine="720"/>
        <w:spacing w:after="0" w:line="239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Многодетным семьям предоставляется финансовая помощь государства в погашении задолженности по льготным кредитам в </w:t>
      </w:r>
      <w:hyperlink r:id="rId13">
        <w:r>
          <w:rPr>
            <w:rFonts w:ascii="Times New Roman" w:cs="Times New Roman" w:eastAsia="Times New Roman" w:hAnsi="Times New Roman"/>
            <w:sz w:val="28"/>
            <w:szCs w:val="28"/>
            <w:color w:val="auto"/>
          </w:rPr>
          <w:t>порядке</w:t>
        </w:r>
      </w:hyperlink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установленном Советом Министров Республики Беларусь, после наступления срока погашения задолженности по льготным кредитам и выплаты процентов за пользование ими в соответствии с количеством несовершеннолетних детей на дату заключения кредитного договора и суммой задолженности по льготным кредитам на дату представления кредитополучателями открытому акционерному обществу "Сберегательный банк "Беларусбанк" документов, необходимых для ее получения, и оказывается в следующих размерах: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jc w:val="both"/>
        <w:ind w:firstLine="72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при наличии троих несовершеннолетних детей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75 процентов от суммы задолженности по выданным кредитам;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firstLine="72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при наличии четверых и более несовершеннолетних детей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100 процентов от суммы задолженности по выданным кредитам.</w:t>
      </w:r>
    </w:p>
    <w:p>
      <w:pPr>
        <w:spacing w:after="0" w:line="340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Указ № 240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ввел новую форму государственной поддержки граждан – предоставление субсидии на уплату части процентов и субсидии на погашение основного долга за пользование не льготными кредитами на строительство (реконструкцию) жилых помещений.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Предоставление субсидий на погашение кредитов, выдаваемых на покупку жилья, Указом № 240 не предусмотрено.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Механизм предоставления этих субсидий является дополнительным видом государственной поддержки льготных категорий граждан, осуществляющих строительство (реконструкцию) жилых помещений, и направлен на увеличение объемов строительства жилья путем вовлечения в жилищное строительство коммерческих кредитов банков с предоставлением гражданам господдержки на их погашение.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Право на получение субсидии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 уплату части процентов предоставляется лицам, состоящим на учете нуждающихся в улучшении жилищных условий: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4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гражданам, перечисленным в </w:t>
      </w:r>
      <w:hyperlink r:id="rId14">
        <w:r>
          <w:rPr>
            <w:rFonts w:ascii="Times New Roman" w:cs="Times New Roman" w:eastAsia="Times New Roman" w:hAnsi="Times New Roman"/>
            <w:sz w:val="28"/>
            <w:szCs w:val="28"/>
            <w:color w:val="auto"/>
          </w:rPr>
          <w:t>абзацах втором</w:t>
        </w:r>
        <w:r>
          <w:rPr>
            <w:rFonts w:ascii="Times New Roman" w:cs="Times New Roman" w:eastAsia="Times New Roman" w:hAnsi="Times New Roman"/>
            <w:sz w:val="28"/>
            <w:szCs w:val="28"/>
            <w:color w:val="auto"/>
          </w:rPr>
          <w:t xml:space="preserve"> </w:t>
        </w:r>
      </w:hyperlink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hyperlink r:id="rId15">
        <w:r>
          <w:rPr>
            <w:rFonts w:ascii="Times New Roman" w:cs="Times New Roman" w:eastAsia="Times New Roman" w:hAnsi="Times New Roman"/>
            <w:sz w:val="28"/>
            <w:szCs w:val="28"/>
            <w:color w:val="auto"/>
          </w:rPr>
          <w:t>семнадцатом части первой</w:t>
        </w:r>
      </w:hyperlink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hyperlink r:id="rId15">
        <w:r>
          <w:rPr>
            <w:rFonts w:ascii="Times New Roman" w:cs="Times New Roman" w:eastAsia="Times New Roman" w:hAnsi="Times New Roman"/>
            <w:sz w:val="28"/>
            <w:szCs w:val="28"/>
            <w:color w:val="auto"/>
          </w:rPr>
          <w:t xml:space="preserve">подпункта 1.1 пункта 1 </w:t>
        </w:r>
      </w:hyperlink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Указа №13;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прокурорским работникам, гражданам из числа прокурорских работников, уволенных со службы в органах прокуратуры по возрасту, состоянию здоровья, в связи с сокращением численности или штата работников, имеющим не менее 5 календарных лет выслуги на службе в органах прокуратуры;</w:t>
      </w:r>
    </w:p>
    <w:p>
      <w:pPr>
        <w:spacing w:after="0" w:line="162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12</w:t>
      </w:r>
    </w:p>
    <w:p>
      <w:pPr>
        <w:sectPr>
          <w:pgSz w:w="11900" w:h="16838" w:orient="portrait"/>
          <w:cols w:equalWidth="0" w:num="1">
            <w:col w:w="10200"/>
          </w:cols>
          <w:pgMar w:left="1000" w:top="858" w:right="706" w:bottom="137" w:gutter="0" w:footer="0" w:header="0"/>
        </w:sectPr>
      </w:pPr>
    </w:p>
    <w:bookmarkStart w:id="12" w:name="page13"/>
    <w:bookmarkEnd w:id="12"/>
    <w:p>
      <w:pPr>
        <w:jc w:val="both"/>
        <w:ind w:left="6" w:firstLine="708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малообеспеченным гражданам, осуществляющим строительство (реконструкцию) жилых помещений в населенных пунктах на территории юго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"/>
        <w:spacing w:after="0"/>
        <w:tabs>
          <w:tab w:leader="none" w:pos="1786" w:val="left"/>
          <w:tab w:leader="none" w:pos="3186" w:val="left"/>
          <w:tab w:leader="none" w:pos="5266" w:val="left"/>
          <w:tab w:leader="none" w:pos="6666" w:val="left"/>
          <w:tab w:leader="none" w:pos="8586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восточного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региона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Могилевской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области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(территория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Кричевского,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jc w:val="both"/>
        <w:ind w:left="6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Климовичского, Краснопольского, Костюковичского, Славгородского, Чериковского и Хотимского районов).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left="6" w:firstLine="70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Внеочередное право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 получение субсидии на уплату части процентов имеют: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left="6" w:firstLine="708"/>
        <w:spacing w:after="0" w:line="234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граждане, перечисленные в </w:t>
      </w:r>
      <w:hyperlink r:id="rId16">
        <w:r>
          <w:rPr>
            <w:rFonts w:ascii="Times New Roman" w:cs="Times New Roman" w:eastAsia="Times New Roman" w:hAnsi="Times New Roman"/>
            <w:sz w:val="28"/>
            <w:szCs w:val="28"/>
            <w:color w:val="auto"/>
          </w:rPr>
          <w:t>абзацах четвертом</w:t>
        </w:r>
        <w:r>
          <w:rPr>
            <w:rFonts w:ascii="Times New Roman" w:cs="Times New Roman" w:eastAsia="Times New Roman" w:hAnsi="Times New Roman"/>
            <w:sz w:val="28"/>
            <w:szCs w:val="28"/>
            <w:color w:val="auto"/>
          </w:rPr>
          <w:t>,</w:t>
        </w:r>
        <w:r>
          <w:rPr>
            <w:rFonts w:ascii="Times New Roman" w:cs="Times New Roman" w:eastAsia="Times New Roman" w:hAnsi="Times New Roman"/>
            <w:sz w:val="28"/>
            <w:szCs w:val="28"/>
            <w:color w:val="auto"/>
          </w:rPr>
          <w:t xml:space="preserve"> </w:t>
        </w:r>
      </w:hyperlink>
      <w:hyperlink r:id="rId17">
        <w:r>
          <w:rPr>
            <w:rFonts w:ascii="Times New Roman" w:cs="Times New Roman" w:eastAsia="Times New Roman" w:hAnsi="Times New Roman"/>
            <w:sz w:val="28"/>
            <w:szCs w:val="28"/>
            <w:color w:val="auto"/>
          </w:rPr>
          <w:t>пятом</w:t>
        </w:r>
        <w:r>
          <w:rPr>
            <w:rFonts w:ascii="Times New Roman" w:cs="Times New Roman" w:eastAsia="Times New Roman" w:hAnsi="Times New Roman"/>
            <w:sz w:val="28"/>
            <w:szCs w:val="28"/>
            <w:color w:val="auto"/>
          </w:rPr>
          <w:t>,</w:t>
        </w:r>
        <w:r>
          <w:rPr>
            <w:rFonts w:ascii="Times New Roman" w:cs="Times New Roman" w:eastAsia="Times New Roman" w:hAnsi="Times New Roman"/>
            <w:sz w:val="28"/>
            <w:szCs w:val="28"/>
            <w:color w:val="auto"/>
          </w:rPr>
          <w:t xml:space="preserve"> </w:t>
        </w:r>
      </w:hyperlink>
      <w:hyperlink r:id="rId18">
        <w:r>
          <w:rPr>
            <w:rFonts w:ascii="Times New Roman" w:cs="Times New Roman" w:eastAsia="Times New Roman" w:hAnsi="Times New Roman"/>
            <w:sz w:val="28"/>
            <w:szCs w:val="28"/>
            <w:color w:val="auto"/>
          </w:rPr>
          <w:t>седьмом</w:t>
        </w:r>
        <w:r>
          <w:rPr>
            <w:rFonts w:ascii="Times New Roman" w:cs="Times New Roman" w:eastAsia="Times New Roman" w:hAnsi="Times New Roman"/>
            <w:sz w:val="28"/>
            <w:szCs w:val="28"/>
            <w:color w:val="auto"/>
          </w:rPr>
          <w:t xml:space="preserve"> </w:t>
        </w:r>
      </w:hyperlink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hyperlink r:id="rId19">
        <w:r>
          <w:rPr>
            <w:rFonts w:ascii="Times New Roman" w:cs="Times New Roman" w:eastAsia="Times New Roman" w:hAnsi="Times New Roman"/>
            <w:sz w:val="28"/>
            <w:szCs w:val="28"/>
            <w:color w:val="auto"/>
          </w:rPr>
          <w:t>двенадцатом</w:t>
        </w:r>
      </w:hyperlink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hyperlink r:id="rId19">
        <w:r>
          <w:rPr>
            <w:rFonts w:ascii="Times New Roman" w:cs="Times New Roman" w:eastAsia="Times New Roman" w:hAnsi="Times New Roman"/>
            <w:sz w:val="28"/>
            <w:szCs w:val="28"/>
            <w:color w:val="auto"/>
          </w:rPr>
          <w:t xml:space="preserve">части первой подпункта 1.1 пункта 1 </w:t>
        </w:r>
      </w:hyperlink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Указа №13;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8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граждане, уволенные с военной службы, службы в Следственном комитете, Государственном комитете судебных экспертиз, органах внутренних дел, органах финансовых расследований Комитета государственного контроля, органах и подразделениях по чрезвычайным ситуациям (далее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военная служба), службы в органах прокуратуры по возрасту, состоянию здоровья, в связи с сокращением численности или штата работников (в связи с проведением организационно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штатных мероприятий), в том числе реализовавшие свое право на постановку на учет нуждающихся в улучшении жилищных условий по месту жительства в течение 6 месяцев со дня увольнения с военной службы, службы в органах прокуратуры;</w:t>
      </w:r>
    </w:p>
    <w:p>
      <w:pPr>
        <w:spacing w:after="0" w:line="2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дети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сироты и дети, оставшиеся без попечения родителей, в отношении которых принято решение об эмансипации или которые вступили в брак, лица из числа детей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сирот и детей, оставшихся без попечения родителей.</w:t>
      </w:r>
    </w:p>
    <w:p>
      <w:pPr>
        <w:spacing w:after="0" w:line="18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8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Право на получение субсидии на погашение основного долга совместно с получением субсидии на уплату части процентов предоставляется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:</w:t>
      </w:r>
    </w:p>
    <w:p>
      <w:pPr>
        <w:spacing w:after="0" w:line="11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706"/>
        <w:spacing w:after="0" w:line="234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многодетным семьям, имеющим троих и более несовершеннолетних детей; молодым семьям из числа лиц, перечисленных в </w:t>
      </w:r>
      <w:hyperlink r:id="rId14">
        <w:r>
          <w:rPr>
            <w:rFonts w:ascii="Times New Roman" w:cs="Times New Roman" w:eastAsia="Times New Roman" w:hAnsi="Times New Roman"/>
            <w:sz w:val="28"/>
            <w:szCs w:val="28"/>
            <w:color w:val="auto"/>
          </w:rPr>
          <w:t>абзацах втором</w:t>
        </w:r>
      </w:hyperlink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hyperlink r:id="rId20">
        <w:r>
          <w:rPr>
            <w:rFonts w:ascii="Times New Roman" w:cs="Times New Roman" w:eastAsia="Times New Roman" w:hAnsi="Times New Roman"/>
            <w:sz w:val="28"/>
            <w:szCs w:val="28"/>
            <w:color w:val="auto"/>
          </w:rPr>
          <w:t>третьем</w:t>
        </w:r>
      </w:hyperlink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left="6"/>
        <w:spacing w:after="0" w:line="238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hyperlink r:id="rId17">
        <w:r>
          <w:rPr>
            <w:rFonts w:ascii="Times New Roman" w:cs="Times New Roman" w:eastAsia="Times New Roman" w:hAnsi="Times New Roman"/>
            <w:sz w:val="28"/>
            <w:szCs w:val="28"/>
            <w:color w:val="auto"/>
          </w:rPr>
          <w:t>пятом</w:t>
        </w:r>
        <w:r>
          <w:rPr>
            <w:rFonts w:ascii="Times New Roman" w:cs="Times New Roman" w:eastAsia="Times New Roman" w:hAnsi="Times New Roman"/>
            <w:sz w:val="28"/>
            <w:szCs w:val="28"/>
            <w:color w:val="auto"/>
          </w:rPr>
          <w:t>,</w:t>
        </w:r>
        <w:r>
          <w:rPr>
            <w:rFonts w:ascii="Times New Roman" w:cs="Times New Roman" w:eastAsia="Times New Roman" w:hAnsi="Times New Roman"/>
            <w:sz w:val="28"/>
            <w:szCs w:val="28"/>
            <w:color w:val="auto"/>
          </w:rPr>
          <w:t xml:space="preserve"> </w:t>
        </w:r>
      </w:hyperlink>
      <w:hyperlink r:id="rId21">
        <w:r>
          <w:rPr>
            <w:rFonts w:ascii="Times New Roman" w:cs="Times New Roman" w:eastAsia="Times New Roman" w:hAnsi="Times New Roman"/>
            <w:sz w:val="28"/>
            <w:szCs w:val="28"/>
            <w:color w:val="auto"/>
          </w:rPr>
          <w:t>восьмом</w:t>
        </w:r>
        <w:r>
          <w:rPr>
            <w:rFonts w:ascii="Times New Roman" w:cs="Times New Roman" w:eastAsia="Times New Roman" w:hAnsi="Times New Roman"/>
            <w:sz w:val="28"/>
            <w:szCs w:val="28"/>
            <w:color w:val="auto"/>
          </w:rPr>
          <w:t xml:space="preserve"> </w:t>
        </w:r>
      </w:hyperlink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hyperlink r:id="rId22">
        <w:r>
          <w:rPr>
            <w:rFonts w:ascii="Times New Roman" w:cs="Times New Roman" w:eastAsia="Times New Roman" w:hAnsi="Times New Roman"/>
            <w:sz w:val="28"/>
            <w:szCs w:val="28"/>
            <w:color w:val="auto"/>
          </w:rPr>
          <w:t xml:space="preserve">шестнадцатом части первой подпункта 1.1 пункта 1 </w:t>
        </w:r>
      </w:hyperlink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Указа № 13, </w:t>
      </w:r>
      <w:hyperlink w:anchor="page12">
        <w:r>
          <w:rPr>
            <w:rFonts w:ascii="Times New Roman" w:cs="Times New Roman" w:eastAsia="Times New Roman" w:hAnsi="Times New Roman"/>
            <w:sz w:val="28"/>
            <w:szCs w:val="28"/>
            <w:color w:val="auto"/>
          </w:rPr>
          <w:t xml:space="preserve">абзацах третьем </w:t>
        </w:r>
      </w:hyperlink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и </w:t>
      </w:r>
      <w:hyperlink w:anchor="page12">
        <w:r>
          <w:rPr>
            <w:rFonts w:ascii="Times New Roman" w:cs="Times New Roman" w:eastAsia="Times New Roman" w:hAnsi="Times New Roman"/>
            <w:sz w:val="28"/>
            <w:szCs w:val="28"/>
            <w:color w:val="auto"/>
          </w:rPr>
          <w:t xml:space="preserve">четвертом подпункта 1.2 </w:t>
        </w:r>
      </w:hyperlink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настоящего пункта, относящихся к малообеспеченным гражданам на дату подачи заявления о предоставлении субсидии на уплату части процентов (заявления о включении в списки на получение субсидии на уплату части процентов в случае утверждения указанных списков в соответствии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hanging="6"/>
        <w:spacing w:after="0" w:line="237" w:lineRule="auto"/>
        <w:tabs>
          <w:tab w:leader="none" w:pos="213" w:val="left"/>
        </w:tabs>
        <w:numPr>
          <w:ilvl w:val="0"/>
          <w:numId w:val="20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частью второй подпункта 1.14 настоящего пункта),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при рождении (усыновлении, удочерении) первого и (или) второго ребенка после принятия решения о предоставлении субсидии на уплату части процентов;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8"/>
        <w:spacing w:after="0" w:line="236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детям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сиротам и детям, оставшимся без попечения родителей, в отношении которых принято решение об эмансипации или которые вступили в брак, лицам из числа детей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сирот и детей, оставшихся без попечения родителей;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8"/>
        <w:spacing w:after="0" w:line="238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гражданам, являющимся нанимателями жилых помещений социального пользования государственного жилищного фонда, предоставленных им в соответствии с законодательными актами как детям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сиротам и детям, оставшимся без попечения родителей, в отношении которых принято решение об эмансипации или которые вступили в брак, лицам из числа детей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сирот и детей, оставшихся без попечения родителей,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течение срока действия заключенного с ними срочного договора найма жилого помещения социального пользования государственного жилищного фонда.</w:t>
      </w:r>
    </w:p>
    <w:p>
      <w:pPr>
        <w:spacing w:after="0" w:line="21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8"/>
        <w:spacing w:after="0" w:line="235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При строительстве жилых помещений с учетом норм Указа № 240 максимальная нормируемая стоимость жилого помещения для строительства жилых</w:t>
      </w:r>
    </w:p>
    <w:p>
      <w:pPr>
        <w:spacing w:after="0" w:line="160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center"/>
        <w:ind w:right="-5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13</w:t>
      </w:r>
    </w:p>
    <w:p>
      <w:pPr>
        <w:sectPr>
          <w:pgSz w:w="11900" w:h="16838" w:orient="portrait"/>
          <w:cols w:equalWidth="0" w:num="1">
            <w:col w:w="10206"/>
          </w:cols>
          <w:pgMar w:left="994" w:top="858" w:right="706" w:bottom="137" w:gutter="0" w:footer="0" w:header="0"/>
        </w:sectPr>
      </w:pPr>
    </w:p>
    <w:bookmarkStart w:id="13" w:name="page14"/>
    <w:bookmarkEnd w:id="13"/>
    <w:p>
      <w:pPr>
        <w:jc w:val="both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помещений та же, что и при строительстве по Указу № 13, то есть все нормативы общей площади строящегося жилого помещения для определения стоимости льготного кредита (20 кв.м на человека) и предельный норматив стоимости 1 кв.м общей площади жилого помещения, определяемый Советом Министров Республики Беларусь, сохраняются при строительстве жилья как по Указу № 13, так и по Указу № 240.</w:t>
      </w:r>
    </w:p>
    <w:p>
      <w:pPr>
        <w:spacing w:after="0" w:line="32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u w:val="single" w:color="auto"/>
          <w:color w:val="auto"/>
        </w:rPr>
        <w:t>Тенденции строительства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jc w:val="both"/>
        <w:ind w:firstLine="702"/>
        <w:spacing w:after="0" w:line="238" w:lineRule="auto"/>
        <w:tabs>
          <w:tab w:leader="none" w:pos="1083" w:val="left"/>
        </w:tabs>
        <w:numPr>
          <w:ilvl w:val="0"/>
          <w:numId w:val="21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последние годы структура жилищного строительства по Могилевской области существенно изменилась. Если ранее значительный удельный вес возводимого жилья приходился на строительство с использованием средств консолидированного бюджета и государственной поддержки в виде льготных кредитов банков (52,5 % в 2014 г., 47,4 % в 2015 г.), то в 2016, 2017 и 2018 годах он занимает только около 30 %.</w:t>
      </w:r>
    </w:p>
    <w:p>
      <w:pPr>
        <w:spacing w:after="0" w:line="16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6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Причем в 2017 и 2018 годах удалось удержаться на уровне 2016 года за счет кредитов по Указу № 240 (первоначально в 2017 году удельный вес такого жилья планировался на уровне 17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18% и еще ниже в 2018 году – порядка 10 %).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Справочно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Государственной программой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Строительство жилья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на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2016-2020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годы предусмотрено увеличение доли внебюджетных источников финансирования в общем объеме финансирования строительства жилья с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82,4 %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в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2016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г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до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92,4 %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в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2020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г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17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2"/>
        <w:spacing w:after="0" w:line="237" w:lineRule="auto"/>
        <w:tabs>
          <w:tab w:leader="none" w:pos="1047" w:val="left"/>
        </w:tabs>
        <w:numPr>
          <w:ilvl w:val="0"/>
          <w:numId w:val="21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целях сохранения объемов жилищного строительства горрайисполкомам необходимо принимать меры по увеличению внебюджетных источников финансирования жилищного строительства в 2018 году, и тем более в 2019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-2020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годы.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2"/>
        <w:spacing w:after="0" w:line="238" w:lineRule="auto"/>
        <w:tabs>
          <w:tab w:leader="none" w:pos="1006" w:val="left"/>
        </w:tabs>
        <w:numPr>
          <w:ilvl w:val="0"/>
          <w:numId w:val="21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соответствии с требованиями Главы государства о поэтапном сокращении директивного кредитования (в т.ч. Указ № 13) в 2019 году будет осуществляться завершение финансирования переходящих проектов по ранее принятым решениям Президента Республики Беларусь, в частности, программа социально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экономического развития юго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восточного региона Могилевской области на период до 2020 года.</w:t>
      </w:r>
    </w:p>
    <w:p>
      <w:pPr>
        <w:spacing w:after="0" w:line="16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firstLine="708"/>
        <w:spacing w:after="0" w:line="235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Целевая задача – к 2020 году прекратить практику формирования плана директивного кредитования государственных программ и мероприятий.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6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Данные подходы отражены в концепции прогноза социально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экономического развития Республики Беларусь на 2019 год и основных макроэкономических параметрах до 2021 года.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Кроме строительства жилья с государственной поддержкой, граждане, состоящие на учете нуждающихся в улучшении жилищных условий, могут воспользоваться правом получения квартир коммерческого или социального жилищного фонда.</w:t>
      </w:r>
    </w:p>
    <w:p>
      <w:pPr>
        <w:spacing w:after="0" w:line="17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6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Жилые помещения коммерческого использования государственного жилищного фонда предоставляются гражданам за плату во временное владение и пользование.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Право на получение жилых помещений коммерческого использования имеют граждане, состоящие на учете нуждающихся в улучшении жилищных условий и не состоящие на таком учете. При этом преимущественное право на получение жилых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14</w:t>
      </w:r>
    </w:p>
    <w:p>
      <w:pPr>
        <w:sectPr>
          <w:pgSz w:w="11900" w:h="16838" w:orient="portrait"/>
          <w:cols w:equalWidth="0" w:num="1">
            <w:col w:w="10200"/>
          </w:cols>
          <w:pgMar w:left="1000" w:top="858" w:right="706" w:bottom="137" w:gutter="0" w:footer="0" w:header="0"/>
        </w:sectPr>
      </w:pPr>
    </w:p>
    <w:bookmarkStart w:id="14" w:name="page15"/>
    <w:bookmarkEnd w:id="14"/>
    <w:p>
      <w:pPr>
        <w:jc w:val="both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помещений коммерческого использования имеют граждане, состоящие на учете нуждающихся в улучшении жилищных условий.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Информация о наличии свободных жилых помещений коммерческого использования (месте нахождения, количественном и качественном составе, уровне благоустройства, размере оплаты за пользование, адреса и телефоны для обращения) размещена на сайтах горрайисполкомов.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Срок обращения за предоставлением жилых помещений коммерческого использования составляет 15 календарных дней со дня размещения информации о наличии таких помещений на информационных стендах и официальных сайтах горрайисполкомов.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При подаче заявления гражданин должен предъявить документ, удостоверяющий личность, и по желанию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справку о нахождении на учете нуждающихся в улучшении жилищных условий.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firstLine="720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Пунктом 63 Положения об учете граждан, нуждающихся в улучшении жилищных условий, и о порядке предоставления жилых помещений государственного жилищного фонда, утвержденного Указом Президента Республики Беларусь от 16.12.2013 № 563 «О некоторых вопросах правового регулирования жилищных отношений», определены категории граждан, состоящих на учете нуждающихся в улучшении жилищных условий и имеющих право на получение жилого помещения социального пользования государственного жилищного фонда.</w:t>
      </w:r>
    </w:p>
    <w:p>
      <w:pPr>
        <w:spacing w:after="0" w:line="21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8" w:lineRule="auto"/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Справочно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. По заявлению нанимателя жилого помещения коммерческого использования, относящегося к лицам, определенным в </w:t>
      </w:r>
      <w:hyperlink r:id="rId23">
        <w:r>
          <w:rPr>
            <w:rFonts w:ascii="Times New Roman" w:cs="Times New Roman" w:eastAsia="Times New Roman" w:hAnsi="Times New Roman"/>
            <w:sz w:val="28"/>
            <w:szCs w:val="28"/>
            <w:i w:val="1"/>
            <w:iCs w:val="1"/>
            <w:color w:val="auto"/>
          </w:rPr>
          <w:t xml:space="preserve">пункте 63 </w:t>
        </w:r>
      </w:hyperlink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Положения об учете граждан, нуждающихся в улучшении жилищных условий, и о порядке предоставления жилых помещений государственного жилищного фонда, утвержденного Указом № 563, занимаемое им жилое помещение коммерческого использования подлежит включению в состав жилых помещений социального пользования (т.е. арендная плата взиматься не будет).</w:t>
      </w:r>
    </w:p>
    <w:p>
      <w:pPr>
        <w:spacing w:after="0" w:line="332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Безопасность детей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</w:t>
      </w: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Профилактика гибели детей от внешних причин</w:t>
      </w:r>
    </w:p>
    <w:p>
      <w:pPr>
        <w:spacing w:after="0" w:line="332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 7 июля текущего года в Могилевской области произошел 391 пожар, погибло 37, из них 3 детей. В Белыничском районе произошло 9 пожаров (2017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пожаров), погибших нет (2017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3).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Детский травматизм представляет собой серьезную социальную проблему, поскольку здоровье детей является одним из важнейших ресурсов развития нашей страны.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Основной причиной несчастных случаев остается недосмотр со стороны родителей. Виноваты родители, не научившие осторожности ребенка, который должен в своем возрасте и двигаться, и шалить, и рисковать, но это должен быть разумный риск.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3120" w:right="600" w:hanging="2174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Чтобы не случилась беда, родители могут и должны создать следующие безопасные для ребѐнка условия: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firstLine="702"/>
        <w:spacing w:after="0" w:line="233" w:lineRule="auto"/>
        <w:tabs>
          <w:tab w:leader="none" w:pos="1025" w:val="left"/>
        </w:tabs>
        <w:numPr>
          <w:ilvl w:val="0"/>
          <w:numId w:val="22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Начинается пора грибов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ягод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поэтому необходимо владеть знаниями безопасности в лесу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Прогулка в лес – это очень хороший отдых, который</w:t>
      </w:r>
    </w:p>
    <w:p>
      <w:pPr>
        <w:spacing w:after="0" w:line="160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15</w:t>
      </w:r>
    </w:p>
    <w:p>
      <w:pPr>
        <w:sectPr>
          <w:pgSz w:w="11900" w:h="16838" w:orient="portrait"/>
          <w:cols w:equalWidth="0" w:num="1">
            <w:col w:w="10200"/>
          </w:cols>
          <w:pgMar w:left="1000" w:top="858" w:right="706" w:bottom="137" w:gutter="0" w:footer="0" w:header="0"/>
        </w:sectPr>
      </w:pPr>
    </w:p>
    <w:bookmarkStart w:id="15" w:name="page16"/>
    <w:bookmarkEnd w:id="15"/>
    <w:p>
      <w:pPr>
        <w:jc w:val="both"/>
        <w:ind w:left="6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укрепляет здоровье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знакомит ребенка с природой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Но есть некоторые правила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 которыми взрослые должны обязательно ознакомить ребенка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так как лес может таить в себе опасность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left="6" w:firstLine="708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Расскажите ребенку о ядовитых грибах и растениях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которые растут в лесу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 полях и лугах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Объясните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надо быть осторожными и отучиться от вредной привычки пробовать все подряд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ягоды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травинки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Напоминайте ребенку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ему ни в коем случае нельзя ходить по лесу одному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нужно держаться всегда рядом с родителями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jc w:val="both"/>
        <w:ind w:left="6" w:firstLine="708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22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июня в лесном массиве около деревни Сурды Белыничского района потерялись двое детей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-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восьмилетняя девочка и ее шестилетний брат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Оставленные без присмотра родителей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дети решили погулять в лесу и заблудились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Тревогу около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21.00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забили обеспокоенные родственники малышей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На поиск детей были подняты спасатели и сотрудники милиции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Всего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11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человек и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2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единицы техники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К счастью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все закончилось благополучно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-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спустя полтора часа ребята самостоятельно вышли на звуковые и световые сигналы автомобилей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6" w:firstLine="778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Но что делать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если ребенок чем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то увлекся и не заметил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как заблудился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Объясните ребенку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не нужно поддаваться панике и бежать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куда глаза глядят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Как только потерял родителей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следует кричать громче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чтобы можно было найти друг друга по голосу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оставаться на месте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Малыш должен твердо знать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его обязательно будут искать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ind w:left="706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2.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Не оставляйте детей без присмотра даже на несколько минут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Трагический случай произошел в одной из гомельских квартир вечером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7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both"/>
        <w:ind w:left="6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апреля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 11-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летняя девочка принесла из школы воздушный шарик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Две сестры и брат стали с ним играть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то надувая его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то наполняя водой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Мать решила прекратить шалости и забрать игрушку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Однако двухлетний малыш вырвал шарик из рук матери и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прыгая на кровати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на вдохе проглотил его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Женщина попыталась извлечь шарик из дыхательных путей сына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а старшая сестра в это время позвонила в скорую помощь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Врачи оперативно прибыли на место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но мальчика спасти не удалось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Он умер в машине службы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103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по дороге в больницу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6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3.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Храните лекарства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предметы бытовой химии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 том числе и краску для волос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спички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легковоспламеняющиеся жидкости в недоступном для детей месте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both"/>
        <w:ind w:left="6"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Так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 06.04.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Гомеле за вечер сразу три малыша оказались в реанимации с одинаковым диагнозом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Двое из них отравились таблетками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третий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краской для волос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706"/>
        <w:spacing w:after="0"/>
        <w:tabs>
          <w:tab w:leader="none" w:pos="1646" w:val="left"/>
          <w:tab w:leader="none" w:pos="3466" w:val="left"/>
          <w:tab w:leader="none" w:pos="4746" w:val="left"/>
          <w:tab w:leader="none" w:pos="5166" w:val="left"/>
          <w:tab w:leader="none" w:pos="8046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4.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Не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допускайте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ребѐнка</w:t>
        <w:tab/>
        <w:t>к</w:t>
        <w:tab/>
        <w:t>самостоятельному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открытию окон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,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jc w:val="both"/>
        <w:ind w:left="6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балконов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лоджий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Обеспечить безопасное для детей проветривание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находиться возле источника проветривания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обязанность родителей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так как травмы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связанные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left="6" w:hanging="6"/>
        <w:spacing w:after="0" w:line="237" w:lineRule="auto"/>
        <w:tabs>
          <w:tab w:leader="none" w:pos="301" w:val="left"/>
        </w:tabs>
        <w:numPr>
          <w:ilvl w:val="0"/>
          <w:numId w:val="23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падением с высоты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отличаются наибольшей тяжестью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часто приводит к летальному исходу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Родителям следует помнить и о том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москитные сетки на окнах не рассчитаны на вес ребѐнка и не защитят его от падения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1046" w:hanging="338"/>
        <w:spacing w:after="0"/>
        <w:tabs>
          <w:tab w:leader="none" w:pos="1046" w:val="left"/>
        </w:tabs>
        <w:numPr>
          <w:ilvl w:val="1"/>
          <w:numId w:val="23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Ганцевичах из окна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3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этажа многоэтажки выпал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4-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летний ребенок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</w:t>
      </w:r>
    </w:p>
    <w:p>
      <w:pPr>
        <w:spacing w:after="0" w:line="8" w:lineRule="exact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</w:p>
    <w:p>
      <w:pPr>
        <w:jc w:val="both"/>
        <w:ind w:left="6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Ребенок упал на козырек бетонной плиты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находящийся двумя этажами ниже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Врачи скорой помощи незамедлительно доставили мальчика в больницу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где его направили в реанимационное отделение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Мама малыша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также бабушка с еще одним ребенком в момент происшествия находились в другой комнате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62" w:lineRule="exact"/>
        <w:rPr>
          <w:sz w:val="20"/>
          <w:szCs w:val="20"/>
          <w:color w:val="auto"/>
        </w:rPr>
      </w:pPr>
    </w:p>
    <w:p>
      <w:pPr>
        <w:jc w:val="center"/>
        <w:ind w:right="-5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16</w:t>
      </w:r>
    </w:p>
    <w:p>
      <w:pPr>
        <w:sectPr>
          <w:pgSz w:w="11900" w:h="16838" w:orient="portrait"/>
          <w:cols w:equalWidth="0" w:num="1">
            <w:col w:w="10206"/>
          </w:cols>
          <w:pgMar w:left="994" w:top="858" w:right="706" w:bottom="137" w:gutter="0" w:footer="0" w:header="0"/>
        </w:sectPr>
      </w:pPr>
    </w:p>
    <w:bookmarkStart w:id="16" w:name="page17"/>
    <w:bookmarkEnd w:id="16"/>
    <w:p>
      <w:pPr>
        <w:jc w:val="both"/>
        <w:ind w:left="6" w:firstLine="702"/>
        <w:spacing w:after="0" w:line="236" w:lineRule="auto"/>
        <w:tabs>
          <w:tab w:leader="none" w:pos="1039" w:val="left"/>
        </w:tabs>
        <w:numPr>
          <w:ilvl w:val="1"/>
          <w:numId w:val="24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Помните о том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что детская площадка во дворе также может таить в себе опасность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Часто дети без надлежащего досмотра родителей оказываются в плену вертикальных лестниц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металлических заборов площадки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8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Происшествие случилось в Минске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4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мая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семилетняя девочка получила травму на детской площадке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Ее нашли в бессознательном состоянии возле детской горки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Прохожие вызвали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"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скорую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"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оказали ребенку первую помощь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Однако спасти жизнь девочки не удалось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она умерла утром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5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мая в больнице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7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2"/>
        <w:spacing w:after="0" w:line="234" w:lineRule="auto"/>
        <w:tabs>
          <w:tab w:leader="none" w:pos="1027" w:val="left"/>
        </w:tabs>
        <w:numPr>
          <w:ilvl w:val="1"/>
          <w:numId w:val="24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Жидкости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которые горят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также привлекают детей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только они не придумывают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проводят опыты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поджигают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проверяют наличие горючей жидкости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hanging="6"/>
        <w:spacing w:after="0" w:line="237" w:lineRule="auto"/>
        <w:tabs>
          <w:tab w:leader="none" w:pos="273" w:val="left"/>
        </w:tabs>
        <w:numPr>
          <w:ilvl w:val="0"/>
          <w:numId w:val="24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канистре с помощью спичек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заправляют зажигалки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мотоциклы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Излишняя самоуверенность и отсутствие опыта всегда заканчиваются одинаково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Так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 27.08.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Волковыске третьеклассник нашел на пустыре пластиковую канистру с остатками горючей жидкости и пытался ее поджечь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Из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 вспыхнувших паров он получил</w:t>
      </w:r>
    </w:p>
    <w:p>
      <w:pPr>
        <w:spacing w:after="0" w:line="17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6"/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ожоги лица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1-2-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й степени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(10%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тела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).</w:t>
      </w:r>
    </w:p>
    <w:p>
      <w:pPr>
        <w:spacing w:after="0" w:line="339" w:lineRule="exact"/>
        <w:rPr>
          <w:sz w:val="20"/>
          <w:szCs w:val="20"/>
          <w:color w:val="auto"/>
        </w:rPr>
      </w:pPr>
    </w:p>
    <w:p>
      <w:pPr>
        <w:jc w:val="both"/>
        <w:ind w:left="6" w:firstLine="70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7.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Объяснять детям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что игры в воде тоже могут быть опасными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Именно утопления являются первой причиной детской смертности в летний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both"/>
        <w:ind w:left="6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период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Летняя жара является причиной большого потока детей к открытым водоемам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которые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как правило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 ограждены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Водные процедуры детей должны проходить в строго отведенных местах и обязательно под строгим контролем взрослых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противном случае может случиться трагедия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left="6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Так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 25.06.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 водоеме возле д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Лесниково Витебская область утонули сразу трое детей из одной семьи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Две сестры и их двоюродный брат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который приехал к ним погостить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Со слов местных жителей детей видели катающимися по водоему на самодельном плоту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left="6" w:firstLine="702"/>
        <w:spacing w:after="0" w:line="237" w:lineRule="auto"/>
        <w:tabs>
          <w:tab w:leader="none" w:pos="1048" w:val="left"/>
        </w:tabs>
        <w:numPr>
          <w:ilvl w:val="0"/>
          <w:numId w:val="25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Дети тонут не только в водоѐмах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но и при падении в колодцы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Эти трагедии происходят как во дворах собственных домов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там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где ребенку ничего не должно угрожать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так и в самых неожиданных местах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8"/>
        <w:spacing w:after="0" w:line="238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Трагедия случилась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мая в деревне Ясенец Мозырского района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куда семья мозырян приехала посеять картошку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Мать поручила сыну набрать воды в копанке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Самодельный колодец был вырыт для полива огорода в низине приусадебного участка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Малыш пошел за водой и не вернулся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Когда его хватилась мать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было уже поздно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Из копанки женщина достала бездыханное тело ребенка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Она попыталась оказать первую помощь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но безуспешно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Прибывшие к месту происшествия медики вынуждены были констатировать смерть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8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8"/>
        <w:spacing w:after="0" w:line="236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Уважаемые взрослые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помните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согласно ст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159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Уголовного кодекса Республики Беларусь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 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 оставление в опасности детей предусмотрена уголовная ответственность с лишением свободы на срок до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3-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х лет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1" w:lineRule="exact"/>
        <w:rPr>
          <w:sz w:val="20"/>
          <w:szCs w:val="20"/>
          <w:color w:val="auto"/>
        </w:rPr>
      </w:pPr>
    </w:p>
    <w:p>
      <w:pPr>
        <w:jc w:val="right"/>
        <w:ind w:left="4126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Могилевская область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история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наследие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люди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»: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80-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летию образования Могилевской области</w:t>
      </w:r>
    </w:p>
    <w:p>
      <w:pPr>
        <w:spacing w:after="0" w:line="328" w:lineRule="exact"/>
        <w:rPr>
          <w:sz w:val="20"/>
          <w:szCs w:val="20"/>
          <w:color w:val="auto"/>
        </w:rPr>
      </w:pPr>
    </w:p>
    <w:p>
      <w:pPr>
        <w:jc w:val="center"/>
        <w:ind w:right="-5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ГОЛОСА РОДНОГО КРАЯ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:</w:t>
      </w:r>
    </w:p>
    <w:p>
      <w:pPr>
        <w:jc w:val="center"/>
        <w:ind w:right="-5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ЗНАМЕНИТЫЕ ЛИТЕРАТОРЫ МОГИЛЕВЩИНЫ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8" w:lineRule="exact"/>
        <w:rPr>
          <w:sz w:val="20"/>
          <w:szCs w:val="20"/>
          <w:color w:val="auto"/>
        </w:rPr>
      </w:pPr>
    </w:p>
    <w:p>
      <w:pPr>
        <w:jc w:val="center"/>
        <w:ind w:right="-5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17</w:t>
      </w:r>
    </w:p>
    <w:p>
      <w:pPr>
        <w:sectPr>
          <w:pgSz w:w="11900" w:h="16838" w:orient="portrait"/>
          <w:cols w:equalWidth="0" w:num="1">
            <w:col w:w="10206"/>
          </w:cols>
          <w:pgMar w:left="994" w:top="858" w:right="706" w:bottom="137" w:gutter="0" w:footer="0" w:header="0"/>
        </w:sectPr>
      </w:pPr>
    </w:p>
    <w:bookmarkStart w:id="17" w:name="page18"/>
    <w:bookmarkEnd w:id="17"/>
    <w:p>
      <w:pPr>
        <w:jc w:val="both"/>
        <w:ind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Могилевщина издревле славится песенностью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она стала родиной для многих талантливых прозаиков и поэтов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Целая плеяда наших знаменитых земляков стали классиками белорусской литературы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 праву звание основателя белорусской драматургии носит наш земляк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уроженец Бобруйского района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Винцент Дунин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Марцинкевич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Из театральных репертуаров до сих пор не исчезли его пьесы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Сялянка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Пінская шляхта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Именно под влиянием спектаклей русских и польских труп у Дунина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Марцинкевича родилась мысль создать свой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особенный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белорусский театр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историю белорусской культуры он вошел под названием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Театр Дунина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Марцинкевича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Первая постановка комической оперы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Сялянка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 («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Ідылія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состоялась 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1852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именно тогда на театральных подмостках открыто прозвучало белорусское слово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Эта дата и считается отправной в возникновении белорусского сценического искусства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Вместе с писательской деятельностью Дунин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Марцинкевич активно занимался и просветительской работой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организовывал белорусские школы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собирал фольклор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записывал разговорный язык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 родине писателя в деревне Сычково Бобруйского района установлена мемориальная доска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Имя драматурга носит Могилевский областной театр драмы и комедии в городе Бобруйске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перед зданием театра стоит его бюст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Одной из экстравагантных личностей литературы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XIX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века смело можно считать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Ольгерда Обуховича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Бандинелли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Родился писатель в семье помещиков в деревне Калатичи Глусского района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Обухович блестяще владел итальянским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французским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английским и немецким языком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но для собственных произведений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которые подписывал псевдонимом граф Бандинелли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выбрал белорусский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Ольгерд Обухович принимал участие в восстании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1863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после чего был сослан в Сибирь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 возвращении из Сибири писатель хотел раздать свои земли крестьянам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но из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 сопротивления семьи покинул имение и поселился в городе Слуцке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где занялся репетиторством и литературой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Слуцке вокруг него собралась вся творческая интеллигенция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При жизни он не увидел ни одного своего текста напечатанным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но вошел в историю национальной литературы как один из основателей жанра басни и художественной прозы наравне с Ф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Богушевичем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Нельзя не рассказать о знаменитом уроженце Хотимщины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Якубе Брайцеве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Его роман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Среди лесов и болот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написанный еще 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1916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 праву считается первым белорусским романом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основу сюжета положены реальные события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происходившие на Могилевщине в начале ХХ 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Роман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Среди болот и лесов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 был издан при жизни писателя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как и другие его рассказы из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 финансовых трудностей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Мечта писателя осуществилась после его смерти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2013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году издательством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Регистр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была издана книга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Среди лесов и болот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которую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кроме одноименного романа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вошли повесть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Невдашечка Анюта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 (1887)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рассказ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Дудолева Лоза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 (1889).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Издание сборника открыло широкому кругу читателей имя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ранее неизвестного выдающегося белорусского писателя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Не может не впечатлить широта и многогранность творческих интересов уроженца деревни Малая Богатьковка Мстиславского района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писатель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драматург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публицист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литературовед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переводчик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критик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фольклорист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языковед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историк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все это он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Максим Горецкий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3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18</w:t>
      </w:r>
    </w:p>
    <w:p>
      <w:pPr>
        <w:sectPr>
          <w:pgSz w:w="11900" w:h="16838" w:orient="portrait"/>
          <w:cols w:equalWidth="0" w:num="1">
            <w:col w:w="10200"/>
          </w:cols>
          <w:pgMar w:left="1000" w:top="858" w:right="706" w:bottom="137" w:gutter="0" w:footer="0" w:header="0"/>
        </w:sectPr>
      </w:pPr>
    </w:p>
    <w:bookmarkStart w:id="18" w:name="page19"/>
    <w:bookmarkEnd w:id="18"/>
    <w:p>
      <w:pPr>
        <w:jc w:val="both"/>
        <w:ind w:firstLine="708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Дебют Максима Горецкого как писателя состоялся публикацией рассказа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Лазня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газете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Наша Ніва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1913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Начало военному жанру в белорусской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литературе положила автобиографическая повесть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 імперыялістычнай вайне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где Горецкий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форме солдатского дневника с суровой и мужественной правдивостью показал уничтожающую суть войны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Произведение поставлено исследователями в один ряд с повестями и романами 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Барбюса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Цвейга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Э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Ремарка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талантливых и неподражаемых мировых мастеров военной прозы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Современники называли Максима Горецкого исключительным явлением в белорусской литературе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первым белорусским прозаиком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который всегда говорил правду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даже стоя перед лицом смерти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6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Богата литературными талантами Костюковичская земля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Уроженцем деревни Самотевичи является знаменитый поэт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Аркадий Кулешов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Талант Кулешова проявился очень рано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Уже 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14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лет он написал свое самое знаменитое стихотворение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Бывай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абуджаная сэрцам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дарагая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которое значительно позже белорусский композитор Игорь Лученок сделает популярной песней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Алеся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».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Центральное место в творчестве Кулешова занимает война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Судьбе ветеранов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инвалидов первой мировой войны посвящена его поэма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Крыўда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Великой Отечественной войне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произведения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Балада аб чатырох заложніках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Камсамольскі білет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Ліст з палону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Над брацкай магілай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Когда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Балада аб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чатырох заложніках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попала в руки к одному из лидеров партизанского движения Беларуси Минаю Шмыреву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более известному как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батька Минай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то тот расплакался и не смог дочитать ее до конца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Проблемам существования человечества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сохранения планеты от глобального уничтожения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посвящены философские поэмы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Цунамі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Маналог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На творчестве Аркадия Кулешова вырос уроженец деревни Великий Бор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Иван Чигринов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Война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которую писатель пережил в родной деревне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будущем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определила тематику его произведений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Романы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Плач перапѐлкі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Апраўданне крыві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Свае і чужынцы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Вяртанне да віны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нельзя читать без волнения и сегодня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когда прошло много времени после окончания войны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1990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году по одноименному роману Чигринова был снят девятисерийный фильм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Плач перепелки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».</w:t>
      </w:r>
    </w:p>
    <w:p>
      <w:pPr>
        <w:spacing w:after="0" w:line="21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Уже несколько десятилетий имя писателя гордо носит центральная библиотека г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Костюковичи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Родной Костюковщине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Беседи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малой родине посвящено творчество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Алеся Письменкова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Его смело можно отнести к деревенским поэтам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сам писатель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признавался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в городе чувствовал себя чужим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Где бы он ни жил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он всегда возвращался домой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 своим корням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 родным Прибеседским просторам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Он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пел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 них в своих стихах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описывал их в эссе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1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Вся жизнь поэта была связана с литературным и журналистским творчеством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Письменков работал корреспондентом районной газеты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Сцяг камунізму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газеты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Літаратура і мастацтва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редактором отдела науки и искусства журнала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Полымя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главным редактором ежедневника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Літаратура і мастацтва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Данью памяти 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Письменкову является проведение областного праздника поэзии и авторской песни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Письменков луг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 живописном берегу Беседи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4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19</w:t>
      </w:r>
    </w:p>
    <w:p>
      <w:pPr>
        <w:sectPr>
          <w:pgSz w:w="11900" w:h="16838" w:orient="portrait"/>
          <w:cols w:equalWidth="0" w:num="1">
            <w:col w:w="10200"/>
          </w:cols>
          <w:pgMar w:left="1000" w:top="858" w:right="706" w:bottom="137" w:gutter="0" w:footer="0" w:header="0"/>
        </w:sectPr>
      </w:pPr>
    </w:p>
    <w:bookmarkStart w:id="19" w:name="page20"/>
    <w:bookmarkEnd w:id="19"/>
    <w:p>
      <w:pPr>
        <w:jc w:val="both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празднике принимают участие талантливые поэты и прозаики Могилевской области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Брянской и Смоленской областей России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Картина литераторов Приднепровья была бы неполной без классика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бесконечно влюбленного в свой край и Беларусь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поэта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лирика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Алексея Васильевича Пысина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Знаменитый уроженец Краснопольского района прошел большой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жизненный и творческий путь от рядового сельского корреспондента и солдата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фронтовика до известного поэта и журналиста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заслуженного работника культуры БССР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firstLine="560"/>
        <w:spacing w:after="0" w:line="237" w:lineRule="auto"/>
        <w:tabs>
          <w:tab w:leader="none" w:pos="840" w:val="left"/>
        </w:tabs>
        <w:numPr>
          <w:ilvl w:val="0"/>
          <w:numId w:val="26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1950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году 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Пысина приняли в члены Союза писателей СССР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уже 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1951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вышел первый сборник стихов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Наш дзень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нем были собраны лучшие стихи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написал поэт после войны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Они были разными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но они свидетельствовали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в поэзию пришел не случайный человек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567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Неизгладимый след в памяти поэта оставила Великая Отечественная война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Он прошел ее связистом от начала и до конца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был дважды ранен и до самой смерти носил в себе осколки снарядов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567"/>
        <w:spacing w:after="0" w:line="236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Именно война стала центром всего его творчества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Никто из белорусских поэтов не показал войну так глубоко и остро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как Пысин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не без оснований литературные критики говорят про него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Как Быков в прозе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».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567"/>
        <w:spacing w:after="0" w:line="238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Помимо прекрасного поэтического таланта Алексей Пысин в совершенстве владел мастерством первоклассного журналиста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Темы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которые он поднимал в своих публикациях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всегда отличались актуальностью и были интересны читателям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которым автор запомнился ярким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образным языком и достаточно смелыми высказываниями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2"/>
        <w:spacing w:after="0" w:line="237" w:lineRule="auto"/>
        <w:tabs>
          <w:tab w:leader="none" w:pos="1015" w:val="left"/>
        </w:tabs>
        <w:numPr>
          <w:ilvl w:val="1"/>
          <w:numId w:val="26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2010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года в области проводятся ежегодные Пысинские чтения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участие в которых принимают члены Могилевского областного отделения Союза писателей Беларуси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друзья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коллеги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родственники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исследователи творчества Алексея Пысина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7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8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Основателем документальной прозы в белорусской литературе по праву можно считать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Алеся Адамовича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Детство писателя прошло в поселке Глуша Бобруйского района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14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лет Адамович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вместе матерью и братом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принимал участие в деятельности Глушанского антифашистского подполья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1943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был связным в партизанском отряде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потом и бойцом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Именно эти события подтолкнули писателя к созданию ряда блестящих художественных произведений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Из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под пера писателя вышли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дилогия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Партизаны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 («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Война под крышами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Сыновья уходят в бой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»),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Хатынская повесть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Каратели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Блокадная книга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написанная совместно с Даниилом Граниным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3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8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Алесь Адамович вместе Янкой Брылем и Владимиром Колесником объехали с магнитофоном и фотоаппаратом всю Беларусь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побывали в сотнях сожженных деревень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записали более трехсот свидетельств массовых уничтожений людей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именно эти записи вошли в документальную книгу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Я из огненной деревни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которая своим возникновением пробудила в обществе стремление знать как можно больше о своем прошлом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каким бы оно ни было ужасным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6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1985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году кинорежиссером Элемом Климовым в соавторстве с Адамовичем снята художественная кинолента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Иди и смотри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киностудии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Мосфильм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Беларусьфильм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»),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основу которой положена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Хатынская повесть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Фильм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получил первую премию на Всемирном кинофестивале в Москве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(1985)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мировое</w:t>
      </w:r>
    </w:p>
    <w:p>
      <w:pPr>
        <w:spacing w:after="0" w:line="162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20</w:t>
      </w:r>
    </w:p>
    <w:p>
      <w:pPr>
        <w:sectPr>
          <w:pgSz w:w="11900" w:h="16838" w:orient="portrait"/>
          <w:cols w:equalWidth="0" w:num="1">
            <w:col w:w="10200"/>
          </w:cols>
          <w:pgMar w:left="1000" w:top="858" w:right="706" w:bottom="137" w:gutter="0" w:footer="0" w:header="0"/>
        </w:sectPr>
      </w:pPr>
    </w:p>
    <w:bookmarkStart w:id="20" w:name="page21"/>
    <w:bookmarkEnd w:id="20"/>
    <w:p>
      <w:pPr>
        <w:jc w:val="both"/>
        <w:ind w:left="6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признание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 успехом демонстрируется на экранах многих стран мира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2017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году на Венецианском кинофестивале картина получила главный приз в номинации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Венецианская классика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 лучший отреставрированный фильм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left="6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Волновала писателя и тема Чернобыльской трагедии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Адамович первым стал искать возможность разрушить стену секретности вокруг событий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стал организатором создания общественной инициативы по оздоровлению детей в зарубежных странах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Дети Чернобыля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1126" w:hanging="418"/>
        <w:spacing w:after="0"/>
        <w:tabs>
          <w:tab w:leader="none" w:pos="1126" w:val="left"/>
        </w:tabs>
        <w:numPr>
          <w:ilvl w:val="1"/>
          <w:numId w:val="27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2018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 году  омечаются  юбилеи  поэта 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Ивана  Пехтерева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 и  прозаика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</w:p>
    <w:p>
      <w:pPr>
        <w:ind w:left="6"/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журналиста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Ивана Аношкина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2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8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Иван Егорович Пехтерев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автор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14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книг поэзии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 его стихи написано более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100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песен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Иван Егорович сделал свыше четырехсот литературно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музыкальных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передач о народном творчестве Могилевщины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сочинил десятки сценариев народных праздников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7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2"/>
        <w:spacing w:after="0" w:line="237" w:lineRule="auto"/>
        <w:tabs>
          <w:tab w:leader="none" w:pos="1067" w:val="left"/>
        </w:tabs>
        <w:numPr>
          <w:ilvl w:val="1"/>
          <w:numId w:val="27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своей автобиографии поэт писал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 «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Сейчас часто думаю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почему стал писать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Скорее всего потому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что очень хотелось показать всю красоту моей родины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ее людей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моих родных и просто земляков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Я собирал родину по звукам и слогам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по строчкам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Вера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Родина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Любовь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–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самые высокие ценности для меня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».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6" w:firstLine="702"/>
        <w:spacing w:after="0" w:line="234" w:lineRule="auto"/>
        <w:tabs>
          <w:tab w:leader="none" w:pos="1012" w:val="left"/>
        </w:tabs>
        <w:numPr>
          <w:ilvl w:val="1"/>
          <w:numId w:val="27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2014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году решением Климовичского райисполкома центральной районной библиотеке присвоено имя поэта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7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8"/>
        <w:spacing w:after="0" w:line="238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Произведения уроженца Чаусского района Ивана Архиповича Аношкина выделяются сатирой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остротой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юмором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Писатель обладал особым даром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особой добротой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Он не только мог увидеть смешное в тех или иных обстоятельствах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но и описать так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чтобы читателю было смешно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чтобы он не обиделся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увидев себя со стороны в нелепом положении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захотел стать лучше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Иван Архипович писал свои произведения на родном белорусском языке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придает им силу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особый народный колорит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Его творчество всегда отличалось приближенностью к народной душе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яркой и живой белорусской речи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8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706"/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Иван Архипович является автором сборников юморесок и рассказов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Каханне</w:t>
      </w:r>
    </w:p>
    <w:p>
      <w:pPr>
        <w:spacing w:after="0" w:line="12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hanging="6"/>
        <w:spacing w:after="0" w:line="236" w:lineRule="auto"/>
        <w:tabs>
          <w:tab w:leader="none" w:pos="340" w:val="left"/>
        </w:tabs>
        <w:numPr>
          <w:ilvl w:val="0"/>
          <w:numId w:val="27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памялом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Лішні мінус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Старыя знаѐмыя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Брантазаўр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Много Иван Архипович писал книг и для детей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Написанию этих книг помог багаж жизненных впечатлений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которые писатель получил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работая в детском доме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8"/>
        <w:spacing w:after="0" w:line="235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Не прерывают связи с родной Могилевщиной известные писатели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проживающие сейчас в Москве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Минске и других городах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Игорь Шкляревский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6"/>
        <w:spacing w:after="0" w:line="234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Иван Бурсов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Николай Аврамчик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Дмитрий Бугаев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Наталья Игнатенко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Валентина Поликанина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Вячеслав Казакевич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Валерий Казаков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8"/>
        <w:spacing w:after="0" w:line="236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Членами Могилевского областного отделения общественного объединения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Союз писателей Беларуси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председателем которого является писатель Александр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Николаевич Казеко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являются такие талантливые литераторы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как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Нина Ковалева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6"/>
        <w:spacing w:after="0" w:line="235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Николай Левченко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Валентина Габрусева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Николай Борисенко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Александр Болдовский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Виктор Кунцевич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другие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6" w:firstLine="708"/>
        <w:spacing w:after="0" w:line="234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Ряды Могилевского отделения Союза писателей пополняются новыми талантливыми авторами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Ольга Белова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Жанна Устинова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Наталья Азаренко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8"/>
        <w:spacing w:after="0" w:line="236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Могилевщина гордится своими знаменитыми писателями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земляками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они в свою очередь в каждой строке прославляют и отдают дань уважения своей малой родине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4" w:lineRule="exact"/>
        <w:rPr>
          <w:sz w:val="20"/>
          <w:szCs w:val="20"/>
          <w:color w:val="auto"/>
        </w:rPr>
      </w:pPr>
    </w:p>
    <w:p>
      <w:pPr>
        <w:jc w:val="center"/>
        <w:ind w:right="-5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21</w:t>
      </w:r>
    </w:p>
    <w:p>
      <w:pPr>
        <w:sectPr>
          <w:pgSz w:w="11900" w:h="16838" w:orient="portrait"/>
          <w:cols w:equalWidth="0" w:num="1">
            <w:col w:w="10206"/>
          </w:cols>
          <w:pgMar w:left="994" w:top="858" w:right="706" w:bottom="137" w:gutter="0" w:footer="0" w:header="0"/>
        </w:sectPr>
      </w:pPr>
    </w:p>
    <w:bookmarkStart w:id="21" w:name="page22"/>
    <w:bookmarkEnd w:id="21"/>
    <w:p>
      <w:pPr>
        <w:jc w:val="center"/>
        <w:ind w:right="-5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“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Апошняя перамога Карла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XII”,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Галоўчынская бітва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1708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года</w:t>
      </w:r>
    </w:p>
    <w:p>
      <w:pPr>
        <w:spacing w:after="0" w:line="169" w:lineRule="exact"/>
        <w:rPr>
          <w:sz w:val="20"/>
          <w:szCs w:val="20"/>
          <w:color w:val="auto"/>
        </w:rPr>
      </w:pPr>
    </w:p>
    <w:p>
      <w:pPr>
        <w:jc w:val="both"/>
        <w:ind w:left="6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Родная наша зямля палітая крывею і потам нашых продкаў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Адвеку нашы прашчуры адважна змагаліся за яе са шматлікімі ворагамі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 шматвекавую гісторыю праз нашу зямлю пракацілася не адна вогненная навала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jc w:val="both"/>
        <w:ind w:left="6" w:hanging="6"/>
        <w:spacing w:after="0" w:line="238" w:lineRule="auto"/>
        <w:tabs>
          <w:tab w:leader="none" w:pos="426" w:val="left"/>
        </w:tabs>
        <w:numPr>
          <w:ilvl w:val="0"/>
          <w:numId w:val="28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пачатку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XVIII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стагоддзя мястэчка Галоўчын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размешчанае ў цяперашнім Бялыніцкім раѐне Магілѐўскай вобласці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належала Дамініку Слушку і налічвала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262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дымы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Тут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3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ліпеня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1708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года адбылася буйная бітва паміж войскамі шведскага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караля Карла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XII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і маскоўскага цара Пятра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I.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Усе біѐграфы шведскага караля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і ѐн сам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аднадушна лічылі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што бітва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якая тут адбылася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’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яўляецца вяршыняй яго ваеннага мастацтва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6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Па словах шведскага гісторыка Лундблата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каля Галоўчына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у апошні раз ўзышла зорка шчасця Карла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XII».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Знакаміты французскі філосаф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гісторык і пісьменнік Вальтэр напісаў 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1731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годзе ў сваѐй кнізе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прысвечанай шведскаму каралю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ваяру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 усіх дадзеных ім бітваў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гэта была самая слаўная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 ей ѐн адчуў найбольшую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небяспеку і выказаў найбольшае майстэрства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».</w:t>
      </w:r>
    </w:p>
    <w:p>
      <w:pPr>
        <w:spacing w:after="0" w:line="300" w:lineRule="exact"/>
        <w:rPr>
          <w:sz w:val="20"/>
          <w:szCs w:val="20"/>
          <w:color w:val="auto"/>
        </w:rPr>
      </w:pPr>
    </w:p>
    <w:p>
      <w:pPr>
        <w:jc w:val="both"/>
        <w:ind w:left="6" w:firstLine="708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Такім чынам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 чэрвені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пачатку ліпеня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1708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года сілы рускай арміі былі сцягнутыя да Вабічы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багністага прытоку ракі Друць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Галоўныя сілы размясьціліся вакол вѐскі Васількі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 ўсход ад Галоўчына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Масты праз Вабіч былі ўмацаваныя і добра абараняліся артылерыяй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Паўднѐвей базіравалася армія генерала Рапніна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якая разгарнулася 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3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кіламетры на паўднѐвы ўсход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Паміж двума ўмацаваннямі рускіх размяшчалася багністае месца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якое нельга было абараніць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 балоцістай мясцовасці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парослай лесам і хмызняком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сувязь паміж расцягнутымі флангамі рускай арміі была ўскладнена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Акрамя таго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 табары рускіх без ведама Пятра Вялікага ішло напружанае спаборніцтва паміж фельдмаршалам Шарамецевым і святлейшым князем Меншыкавым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таксама сітуацыя пагаршалася адсутнасцю адзінага меркавання рускага камандавання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і здаваць пазіцыю не хацелася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і даваць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генеральную баталію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 збіраліся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98" w:lineRule="exact"/>
        <w:rPr>
          <w:sz w:val="20"/>
          <w:szCs w:val="20"/>
          <w:color w:val="auto"/>
        </w:rPr>
      </w:pPr>
    </w:p>
    <w:p>
      <w:pPr>
        <w:jc w:val="both"/>
        <w:ind w:left="6" w:firstLine="708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Пачынаючы з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30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чэрвеня шведскія арміі пачалі займаць пазіцыі на захад ад Галоўчына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размяшчаючыся бівакам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Шведы назіралі за ўсімі перамяшчэннямі рускіх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Карл і яго саветнікі заўважылі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што паміж лагерамі рускіх ѐсць прастора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выпрацавалі план нападу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Стала ясна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што перамяшчэнне па неўмацаванай і беззабароннай балотнай мясцовасці немагчыма ўбачыць і рускія не западозраць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што шведы пойдуць па балоце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Шведы планавалі падзяліць рускіх на два лагеры і знішчаць паасобку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Каб гарантаваць поспех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атаку было вырашана пачаць ўначы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Акрамя таго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ўжылі вайсковую хітрасць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 рускі лагер заслалі двух нібыта перабежчыкаў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якія перадалі дэзінфармацыю пра ўдар па правым флангу рускай пазіцыі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6" w:lineRule="exact"/>
        <w:rPr>
          <w:sz w:val="20"/>
          <w:szCs w:val="20"/>
          <w:color w:val="auto"/>
        </w:rPr>
      </w:pPr>
    </w:p>
    <w:p>
      <w:pPr>
        <w:jc w:val="both"/>
        <w:ind w:left="6" w:firstLine="702"/>
        <w:spacing w:after="0" w:line="238" w:lineRule="auto"/>
        <w:tabs>
          <w:tab w:leader="none" w:pos="1087" w:val="left"/>
        </w:tabs>
        <w:numPr>
          <w:ilvl w:val="0"/>
          <w:numId w:val="29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ноч з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3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ліпеня ішоў моцны дождж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які змяніўся туманам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Пад прыкрыццѐм цемры і непагадзі шведскія салдаты хутка навялі пантонны мост праз нешырокую раку да багністага ўчастку супрацьлеглага берага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дзе рускія не чакалі небяспекі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Тут знаходзілася дывізія князя Рапніна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 тры гадзіны ночы пяць пяхотных палкоў на чале з каралѐм Карлам пад прыкрыццѐм артылерыйскага агню накіраваліся праз мост у атаку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Фарсіраваўшы балота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яны адрэзалі дывізію Рапніна</w:t>
      </w:r>
    </w:p>
    <w:p>
      <w:pPr>
        <w:spacing w:after="0" w:line="108" w:lineRule="exact"/>
        <w:rPr>
          <w:sz w:val="20"/>
          <w:szCs w:val="20"/>
          <w:color w:val="auto"/>
        </w:rPr>
      </w:pPr>
    </w:p>
    <w:p>
      <w:pPr>
        <w:jc w:val="center"/>
        <w:ind w:right="-5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22</w:t>
      </w:r>
    </w:p>
    <w:p>
      <w:pPr>
        <w:sectPr>
          <w:pgSz w:w="11900" w:h="16838" w:orient="portrait"/>
          <w:cols w:equalWidth="0" w:num="1">
            <w:col w:w="10206"/>
          </w:cols>
          <w:pgMar w:left="994" w:top="846" w:right="706" w:bottom="137" w:gutter="0" w:footer="0" w:header="0"/>
        </w:sectPr>
      </w:pPr>
    </w:p>
    <w:bookmarkStart w:id="22" w:name="page23"/>
    <w:bookmarkEnd w:id="22"/>
    <w:p>
      <w:pPr>
        <w:jc w:val="both"/>
        <w:ind w:left="6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ад кавалерыі Гольца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Бой праходзіў у густых прыбярэжных зарасніках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якія не дазвалялі ўвесці ў бой конніцу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Дывізія Рапніна пасля трох гадзін бою кінулася ў лес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пакінуўшы шведам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гармат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 шчасце для рускіх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багністая мясцовасць ўскладняла шведам пераследванне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Услед за пяхотай па мосце пераправілася шведская кавалерыя і атакавала размешчаныя правей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калі глядзець ад ракі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конныя палкі Гольца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 вытрымаўшы націску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драгуны Гольца таксама звярнуліся ва ўцѐкі па дарозе на Магілѐў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Пры гэтым найбольшыя страты панеслі Белазерскі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Троіцкі і Санкт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Пецярбургскі палкі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Войскі рускага цэнтра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баючыся флангавага ўдару шведаў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паспешна адступілі да Шклова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войскі Алларта і Флюка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да Копысі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jc w:val="both"/>
        <w:ind w:left="6" w:firstLine="70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Магілѐўскі летапісец Арэст адзначаў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што ў гэтым баі ледзь не загінуў Карл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XII.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Яго конь уграз у балоце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і шведскія салдаты з вялікай цяжкасцю выцягнулі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караля з багны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00" w:lineRule="exact"/>
        <w:rPr>
          <w:sz w:val="20"/>
          <w:szCs w:val="20"/>
          <w:color w:val="auto"/>
        </w:rPr>
      </w:pPr>
    </w:p>
    <w:p>
      <w:pPr>
        <w:jc w:val="both"/>
        <w:ind w:left="6"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Паўль Энглунд у сваѐй кнізе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Палтава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Аповед аб гібелі адной арміі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ярка і маляўніча дае карціну на полі ля Галоўчына адразу пасля бітвы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Калі праціўнік ачысьціў поле бою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пехацінцы маглі сесці і адпачыць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маркітанткі прабраліся да іх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ind w:left="6" w:hanging="6"/>
        <w:spacing w:after="0" w:line="238" w:lineRule="auto"/>
        <w:tabs>
          <w:tab w:leader="none" w:pos="234" w:val="left"/>
        </w:tabs>
        <w:numPr>
          <w:ilvl w:val="0"/>
          <w:numId w:val="30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гарэлкай і хлебам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Святары хадзілі па полі бою і прычашчалі паміраючых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якія крычалі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Шведы разбілі палаткі прама на полі бою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якое ўяўляла жудаснае відовішча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груды мѐртвых людзей і коней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гарматы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ранцы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медныя катлы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ежа і вазы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зламаныя ў адзіным жудасным бязладдзі сярод гліны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Мѐртвых шведаў закапалі ў брацкія магілы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аказаўшы ім воінскія ўшанаванні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але большасць рускіх забітых пакінулі ляжаць без пахавання ў летнюю спякоту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Цяжкі смярдзючы дух гніення распаўсюдзіўся над мясцовасцю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і заставацца там зрабілася амаль невыносна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Шведскі кароль у гэтай бітве праявіў сябе як добры тактык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Мінуўшы галоўныя</w:t>
      </w:r>
    </w:p>
    <w:p>
      <w:pPr>
        <w:spacing w:after="0" w:line="2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рускія пазіцыі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 цяжкіх умовах беспамылкова правѐў і засяродзіў усе свае сілы супраць Рапніна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удала распараджаўся ў баі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выяўляючы пры гэтым поўную асабістую бясстрашнасць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 гонар перамогі пад Галоўчынам у Швецыі адлілі два медалі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 адной з якіх былі выбітыя словы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 «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Побеждены леса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топи и неприятель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/>
        <w:spacing w:after="0" w:line="239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 на другой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 «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Перейдя Бабич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победил московитов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4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июля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1708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г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.».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Бітва пры Галоўчыне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якая адкрыла шведскай арміі шлях да Дняпра і Магілѐва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стала апошнім яе буйным поспехам у вайне з Расіяй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Нельга сказаць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што шведскае войска цалкам разграміла часткі Рапніна і атрымала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рашучую перамогу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Рускія страцілі да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тыс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забітымі і параненымі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па іншых дадзеных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5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тыс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чалавек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шведы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 1,5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тыс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чалавек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агульныя страты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Шведская армія не змагла развіць поспех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выяўлялася стомленасць войскаў ад пераходу і бою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значныя страты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звесткі аб тым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што асноўныя сілы рускай арміі не прынялі ўдзелу ў гэтай бітве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Ужо да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5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ліпеня парадак у рускай арміі быў цалкам адноўлены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войскі арганізавана адышлі за Днепр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6" w:firstLine="708"/>
        <w:spacing w:after="0" w:line="23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Раз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'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юшаны Пѐтр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які прыбыў у войска пасля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конфузии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 Вабічы ля Галоўчына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разабраўшыся ў прычынах паразкі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ваенным судом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разжалаваў генералаў Рапніна і Чамберса ў салдаты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 ганебны сыход ад непрыяцеля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Рэпніну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акрамя таго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было загадана з асабістых сродкаў пакрыць кошт страчаных у баі гармат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3" w:lineRule="exact"/>
        <w:rPr>
          <w:sz w:val="20"/>
          <w:szCs w:val="20"/>
          <w:color w:val="auto"/>
        </w:rPr>
      </w:pPr>
    </w:p>
    <w:p>
      <w:pPr>
        <w:jc w:val="center"/>
        <w:ind w:right="-5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23</w:t>
      </w:r>
    </w:p>
    <w:p>
      <w:pPr>
        <w:sectPr>
          <w:pgSz w:w="11900" w:h="16838" w:orient="portrait"/>
          <w:cols w:equalWidth="0" w:num="1">
            <w:col w:w="10206"/>
          </w:cols>
          <w:pgMar w:left="994" w:top="858" w:right="706" w:bottom="137" w:gutter="0" w:footer="0" w:header="0"/>
        </w:sectPr>
      </w:pPr>
    </w:p>
    <w:bookmarkStart w:id="23" w:name="page24"/>
    <w:bookmarkEnd w:id="23"/>
    <w:p>
      <w:pPr>
        <w:jc w:val="both"/>
        <w:ind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Пасля абодва генералы былі памілаваныя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Так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Рэпнін за мужнасць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праяўленую ў бітве пры Лясной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ужо ў верасні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1708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года быў адноўлены ў ранейшым генеральскай чыне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Бязлітасней аднесліся к простым салдатам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якія адступілі з Вабічы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Салдат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якія былі параненыя ў спіну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абвінавачвалі ў уцѐках і баязлівасці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затым пакаралі смерцю праз павешанне ці расстрэл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Галоўчынская бітва была першай палявой бітвай будучай рускай рэгулярнай арміі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якая выявіла недахопы ў кіраванні войскамі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дапамагла рускаму камандаванню ў баі ўбачыць слабыя месцы сваѐй арміі і лепш падрыхтавацца да новых бітваў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Для Галоўчына гэта бітва абярнулася спаленнем амаль ўсіх дамоў і разбурэннем замка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які ў далейшым так і не аднавілі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1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24</w:t>
      </w:r>
    </w:p>
    <w:sectPr>
      <w:pgSz w:w="11900" w:h="16838" w:orient="portrait"/>
      <w:cols w:equalWidth="0" w:num="1">
        <w:col w:w="10200"/>
      </w:cols>
      <w:pgMar w:left="1000" w:top="858" w:right="706" w:bottom="137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auto"/>
    <w:pitch w:val="variable"/>
    <w:sig w:usb0="00000000" w:usb1="0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w:abstractNumId="0">
    <w:nsid w:val="41A7C4C9"/>
    <w:multiLevelType w:val="hybridMultilevel"/>
    <w:lvl w:ilvl="0">
      <w:lvlJc w:val="left"/>
      <w:lvlText w:val="О"/>
      <w:numFmt w:val="bullet"/>
      <w:start w:val="1"/>
    </w:lvl>
    <w:lvl w:ilvl="1">
      <w:lvlJc w:val="left"/>
      <w:lvlText w:val="И"/>
      <w:numFmt w:val="bullet"/>
      <w:start w:val="1"/>
    </w:lvl>
    <w:lvl w:ilvl="2">
      <w:lvlJc w:val="left"/>
      <w:lvlText w:val="В"/>
      <w:numFmt w:val="bullet"/>
      <w:start w:val="1"/>
    </w:lvl>
  </w:abstractNum>
  <w:abstractNum w:abstractNumId="1">
    <w:nsid w:val="6B68079A"/>
    <w:multiLevelType w:val="hybridMultilevel"/>
    <w:lvl w:ilvl="0">
      <w:lvlJc w:val="left"/>
      <w:lvlText w:val="В"/>
      <w:numFmt w:val="bullet"/>
      <w:start w:val="1"/>
    </w:lvl>
  </w:abstractNum>
  <w:abstractNum w:abstractNumId="2">
    <w:nsid w:val="4E6AFB66"/>
    <w:multiLevelType w:val="hybridMultilevel"/>
    <w:lvl w:ilvl="0">
      <w:lvlJc w:val="left"/>
      <w:lvlText w:val="в"/>
      <w:numFmt w:val="bullet"/>
      <w:start w:val="1"/>
    </w:lvl>
  </w:abstractNum>
  <w:abstractNum w:abstractNumId="3">
    <w:nsid w:val="25E45D32"/>
    <w:multiLevelType w:val="hybridMultilevel"/>
    <w:lvl w:ilvl="0">
      <w:lvlJc w:val="left"/>
      <w:lvlText w:val="в"/>
      <w:numFmt w:val="bullet"/>
      <w:start w:val="1"/>
    </w:lvl>
  </w:abstractNum>
  <w:abstractNum w:abstractNumId="4">
    <w:nsid w:val="519B500D"/>
    <w:multiLevelType w:val="hybridMultilevel"/>
    <w:lvl w:ilvl="0">
      <w:lvlJc w:val="left"/>
      <w:lvlText w:val="В"/>
      <w:numFmt w:val="bullet"/>
      <w:start w:val="1"/>
    </w:lvl>
  </w:abstractNum>
  <w:abstractNum w:abstractNumId="5">
    <w:nsid w:val="431BD7B7"/>
    <w:multiLevelType w:val="hybridMultilevel"/>
    <w:lvl w:ilvl="0">
      <w:lvlJc w:val="left"/>
      <w:lvlText w:val="В"/>
      <w:numFmt w:val="bullet"/>
      <w:start w:val="1"/>
    </w:lvl>
  </w:abstractNum>
  <w:abstractNum w:abstractNumId="6">
    <w:nsid w:val="3F2DBA31"/>
    <w:multiLevelType w:val="hybridMultilevel"/>
    <w:lvl w:ilvl="0">
      <w:lvlJc w:val="left"/>
      <w:lvlText w:val="В"/>
      <w:numFmt w:val="bullet"/>
      <w:start w:val="1"/>
    </w:lvl>
  </w:abstractNum>
  <w:abstractNum w:abstractNumId="7">
    <w:nsid w:val="7C83E458"/>
    <w:multiLevelType w:val="hybridMultilevel"/>
    <w:lvl w:ilvl="0">
      <w:lvlJc w:val="left"/>
      <w:lvlText w:val="В"/>
      <w:numFmt w:val="bullet"/>
      <w:start w:val="1"/>
    </w:lvl>
  </w:abstractNum>
  <w:abstractNum w:abstractNumId="8">
    <w:nsid w:val="257130A3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В"/>
      <w:numFmt w:val="bullet"/>
      <w:start w:val="1"/>
    </w:lvl>
  </w:abstractNum>
  <w:abstractNum w:abstractNumId="9">
    <w:nsid w:val="62BBD95A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В"/>
      <w:numFmt w:val="bullet"/>
      <w:start w:val="1"/>
    </w:lvl>
  </w:abstractNum>
  <w:abstractNum w:abstractNumId="10">
    <w:nsid w:val="436C6125"/>
    <w:multiLevelType w:val="hybridMultilevel"/>
    <w:lvl w:ilvl="0">
      <w:lvlJc w:val="left"/>
      <w:lvlText w:val=""/>
      <w:numFmt w:val="bullet"/>
      <w:start w:val="1"/>
    </w:lvl>
    <w:lvl w:ilvl="1">
      <w:lvlJc w:val="left"/>
      <w:lvlText w:val="В"/>
      <w:numFmt w:val="bullet"/>
      <w:start w:val="1"/>
    </w:lvl>
  </w:abstractNum>
  <w:abstractNum w:abstractNumId="11">
    <w:nsid w:val="628C895D"/>
    <w:multiLevelType w:val="hybridMultilevel"/>
    <w:lvl w:ilvl="0">
      <w:lvlJc w:val="left"/>
      <w:lvlText w:val=""/>
      <w:numFmt w:val="bullet"/>
      <w:start w:val="1"/>
    </w:lvl>
  </w:abstractNum>
  <w:abstractNum w:abstractNumId="12">
    <w:nsid w:val="333AB105"/>
    <w:multiLevelType w:val="hybridMultilevel"/>
    <w:lvl w:ilvl="0">
      <w:lvlJc w:val="left"/>
      <w:lvlText w:val="В"/>
      <w:numFmt w:val="bullet"/>
      <w:start w:val="1"/>
    </w:lvl>
  </w:abstractNum>
  <w:abstractNum w:abstractNumId="13">
    <w:nsid w:val="721DA317"/>
    <w:multiLevelType w:val="hybridMultilevel"/>
    <w:lvl w:ilvl="0">
      <w:lvlJc w:val="left"/>
      <w:lvlText w:val="В"/>
      <w:numFmt w:val="bullet"/>
      <w:start w:val="1"/>
    </w:lvl>
  </w:abstractNum>
  <w:abstractNum w:abstractNumId="14">
    <w:nsid w:val="2443A858"/>
    <w:multiLevelType w:val="hybridMultilevel"/>
    <w:lvl w:ilvl="0">
      <w:lvlJc w:val="left"/>
      <w:lvlText w:val="и"/>
      <w:numFmt w:val="bullet"/>
      <w:start w:val="1"/>
    </w:lvl>
    <w:lvl w:ilvl="1">
      <w:lvlJc w:val="left"/>
      <w:lvlText w:val=""/>
      <w:numFmt w:val="bullet"/>
      <w:start w:val="1"/>
    </w:lvl>
    <w:lvl w:ilvl="2">
      <w:lvlJc w:val="left"/>
      <w:lvlText w:val="В"/>
      <w:numFmt w:val="bullet"/>
      <w:start w:val="1"/>
    </w:lvl>
  </w:abstractNum>
  <w:abstractNum w:abstractNumId="15">
    <w:nsid w:val="2D1D5AE9"/>
    <w:multiLevelType w:val="hybridMultilevel"/>
    <w:lvl w:ilvl="0">
      <w:lvlJc w:val="left"/>
      <w:lvlText w:val="О"/>
      <w:numFmt w:val="bullet"/>
      <w:start w:val="1"/>
    </w:lvl>
    <w:lvl w:ilvl="1">
      <w:lvlJc w:val="left"/>
      <w:lvlText w:val="В"/>
      <w:numFmt w:val="bullet"/>
      <w:start w:val="1"/>
    </w:lvl>
  </w:abstractNum>
  <w:abstractNum w:abstractNumId="16">
    <w:nsid w:val="6763845E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В"/>
      <w:numFmt w:val="bullet"/>
      <w:start w:val="1"/>
    </w:lvl>
  </w:abstractNum>
  <w:abstractNum w:abstractNumId="17">
    <w:nsid w:val="75A2A8D4"/>
    <w:multiLevelType w:val="hybridMultilevel"/>
    <w:lvl w:ilvl="0">
      <w:lvlJc w:val="left"/>
      <w:lvlText w:val="В"/>
      <w:numFmt w:val="bullet"/>
      <w:start w:val="1"/>
    </w:lvl>
  </w:abstractNum>
  <w:abstractNum w:abstractNumId="18">
    <w:nsid w:val="8EDBDAB"/>
    <w:multiLevelType w:val="hybridMultilevel"/>
    <w:lvl w:ilvl="0">
      <w:lvlJc w:val="left"/>
      <w:lvlText w:val="№"/>
      <w:numFmt w:val="bullet"/>
      <w:start w:val="1"/>
    </w:lvl>
    <w:lvl w:ilvl="1">
      <w:lvlJc w:val="left"/>
      <w:lvlText w:val="В"/>
      <w:numFmt w:val="bullet"/>
      <w:start w:val="1"/>
    </w:lvl>
    <w:lvl w:ilvl="2">
      <w:lvlJc w:val="left"/>
      <w:lvlText w:val="В"/>
      <w:numFmt w:val="bullet"/>
      <w:start w:val="1"/>
    </w:lvl>
  </w:abstractNum>
  <w:abstractNum w:abstractNumId="19">
    <w:nsid w:val="79838CB2"/>
    <w:multiLevelType w:val="hybridMultilevel"/>
    <w:lvl w:ilvl="0">
      <w:lvlJc w:val="left"/>
      <w:lvlText w:val="с"/>
      <w:numFmt w:val="bullet"/>
      <w:start w:val="1"/>
    </w:lvl>
  </w:abstractNum>
  <w:abstractNum w:abstractNumId="20">
    <w:nsid w:val="4353D0CD"/>
    <w:multiLevelType w:val="hybridMultilevel"/>
    <w:lvl w:ilvl="0">
      <w:lvlJc w:val="left"/>
      <w:lvlText w:val="В"/>
      <w:numFmt w:val="bullet"/>
      <w:start w:val="1"/>
    </w:lvl>
  </w:abstractNum>
  <w:abstractNum w:abstractNumId="21">
    <w:nsid w:val="B03E0C6"/>
    <w:multiLevelType w:val="hybridMultilevel"/>
    <w:lvl w:ilvl="0">
      <w:lvlJc w:val="left"/>
      <w:lvlText w:val="%1."/>
      <w:numFmt w:val="decimal"/>
      <w:start w:val="1"/>
    </w:lvl>
  </w:abstractNum>
  <w:abstractNum w:abstractNumId="22">
    <w:nsid w:val="189A769B"/>
    <w:multiLevelType w:val="hybridMultilevel"/>
    <w:lvl w:ilvl="0">
      <w:lvlJc w:val="left"/>
      <w:lvlText w:val="с"/>
      <w:numFmt w:val="bullet"/>
      <w:start w:val="1"/>
    </w:lvl>
    <w:lvl w:ilvl="1">
      <w:lvlJc w:val="left"/>
      <w:lvlText w:val="В"/>
      <w:numFmt w:val="bullet"/>
      <w:start w:val="1"/>
    </w:lvl>
  </w:abstractNum>
  <w:abstractNum w:abstractNumId="23">
    <w:nsid w:val="54E49EB4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%2."/>
      <w:numFmt w:val="decimal"/>
      <w:start w:val="5"/>
    </w:lvl>
  </w:abstractNum>
  <w:abstractNum w:abstractNumId="24">
    <w:nsid w:val="71F32454"/>
    <w:multiLevelType w:val="hybridMultilevel"/>
    <w:lvl w:ilvl="0">
      <w:lvlJc w:val="left"/>
      <w:lvlText w:val="%1."/>
      <w:numFmt w:val="decimal"/>
      <w:start w:val="8"/>
    </w:lvl>
  </w:abstractNum>
  <w:abstractNum w:abstractNumId="25">
    <w:nsid w:val="2CA88611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С"/>
      <w:numFmt w:val="bullet"/>
      <w:start w:val="1"/>
    </w:lvl>
  </w:abstractNum>
  <w:abstractNum w:abstractNumId="26">
    <w:nsid w:val="836C40E"/>
    <w:multiLevelType w:val="hybridMultilevel"/>
    <w:lvl w:ilvl="0">
      <w:lvlJc w:val="left"/>
      <w:lvlText w:val="з"/>
      <w:numFmt w:val="bullet"/>
      <w:start w:val="1"/>
    </w:lvl>
    <w:lvl w:ilvl="1">
      <w:lvlJc w:val="left"/>
      <w:lvlText w:val="В"/>
      <w:numFmt w:val="bullet"/>
      <w:start w:val="1"/>
    </w:lvl>
  </w:abstractNum>
  <w:abstractNum w:abstractNumId="27">
    <w:nsid w:val="2901D82"/>
    <w:multiLevelType w:val="hybridMultilevel"/>
    <w:lvl w:ilvl="0">
      <w:lvlJc w:val="left"/>
      <w:lvlText w:val="У"/>
      <w:numFmt w:val="bullet"/>
      <w:start w:val="1"/>
    </w:lvl>
  </w:abstractNum>
  <w:abstractNum w:abstractNumId="28">
    <w:nsid w:val="3A95F874"/>
    <w:multiLevelType w:val="hybridMultilevel"/>
    <w:lvl w:ilvl="0">
      <w:lvlJc w:val="left"/>
      <w:lvlText w:val="У"/>
      <w:numFmt w:val="bullet"/>
      <w:start w:val="1"/>
    </w:lvl>
  </w:abstractNum>
  <w:abstractNum w:abstractNumId="29">
    <w:nsid w:val="8138641"/>
    <w:multiLevelType w:val="hybridMultilevel"/>
    <w:lvl w:ilvl="0">
      <w:lvlJc w:val="left"/>
      <w:lvlText w:val="з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2" Type="http://schemas.openxmlformats.org/officeDocument/2006/relationships/hyperlink" Target="consultantplus://offline/ref=47066A79E4C2179406783ED47399175A698BF471E48DB1519D7B8545408DC02021914BE02AA2C16CF43AFBD137j5d3I" TargetMode="External"/><Relationship Id="rId13" Type="http://schemas.openxmlformats.org/officeDocument/2006/relationships/hyperlink" Target="consultantplus://offline/ref=F0F53B653B9B5A6BBCC249D12108DFDE3C0E60D45A1377A0A7F369161C86521DD4D20662DC1A9D26E476FD97F0TA3EI" TargetMode="External"/><Relationship Id="rId14" Type="http://schemas.openxmlformats.org/officeDocument/2006/relationships/hyperlink" Target="consultantplus://offline/ref=B8F5D2619CDAAAB83937238DE4D7DEDE85E23FF05BDE55C661F1A24363BD1A21A2204A9A08FBF2AE02E8M" TargetMode="External"/><Relationship Id="rId15" Type="http://schemas.openxmlformats.org/officeDocument/2006/relationships/hyperlink" Target="consultantplus://offline/ref=B8F5D2619CDAAAB83937238DE4D7DEDE85E23FF05BDE55C661F1A24363BD1A21A2204A9A08FBF2AE28EF0F9BF20DE4M" TargetMode="External"/><Relationship Id="rId16" Type="http://schemas.openxmlformats.org/officeDocument/2006/relationships/hyperlink" Target="consultantplus://offline/ref=B8F5D2619CDAAAB83937238DE4D7DEDE85E23FF05BDE55C661F1A24363BD1A21A2204A9A08FBF2AE28EF0F98F50DE3M" TargetMode="External"/><Relationship Id="rId17" Type="http://schemas.openxmlformats.org/officeDocument/2006/relationships/hyperlink" Target="consultantplus://offline/ref=B8F5D2619CDAAAB83937238DE4D7DEDE85E23FF05BDE55C661F1A24363BD1A21A2204A9A08FBF2AE28EF0F99F40DE4M" TargetMode="External"/><Relationship Id="rId18" Type="http://schemas.openxmlformats.org/officeDocument/2006/relationships/hyperlink" Target="consultantplus://offline/ref=B8F5D2619CDAAAB83937238DE4D7DEDE85E23FF05BDE55C661F1A24363BD1A21A2204A9A08FBF2AE28EF0F9BF10DE4M" TargetMode="External"/><Relationship Id="rId19" Type="http://schemas.openxmlformats.org/officeDocument/2006/relationships/hyperlink" Target="consultantplus://offline/ref=B8F5D2619CDAAAB83937238DE4D7DEDE85E23FF05BDE55C661F1A24363BD1A21A2204A9A08FBF2AE28EF0F99F40DE6M" TargetMode="External"/><Relationship Id="rId20" Type="http://schemas.openxmlformats.org/officeDocument/2006/relationships/hyperlink" Target="consultantplus://offline/ref=B8F5D2619CDAAAB83937238DE4D7DEDE85E23FF05BDE55C661F1A24363BD1A21A2204A9A08FBF2AE28EF0F9BF10DE0M" TargetMode="External"/><Relationship Id="rId21" Type="http://schemas.openxmlformats.org/officeDocument/2006/relationships/hyperlink" Target="consultantplus://offline/ref=B8F5D2619CDAAAB83937238DE4D7DEDE85E23FF05BDE55C661F1A24363BD1A21A2204A9A08FBF2AE28EF0F9BF10DE5M" TargetMode="External"/><Relationship Id="rId22" Type="http://schemas.openxmlformats.org/officeDocument/2006/relationships/hyperlink" Target="consultantplus://offline/ref=B8F5D2619CDAAAB83937238DE4D7DEDE85E23FF05BDE55C661F1A24363BD1A21A2204A9A08FBF2AE28EF0F9BF20DE3M" TargetMode="External"/><Relationship Id="rId23" Type="http://schemas.openxmlformats.org/officeDocument/2006/relationships/hyperlink" Target="consultantplus://offline/ref=4821214F9FF0371E468433A22AFD6D02D3B02CD572FF09C26C8E7436021A110272DE74C77F11D6E5A4CAB6D554D6QEI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2022-08-09T11:33:37Z</dcterms:created>
  <dcterms:modified xsi:type="dcterms:W3CDTF">2022-08-09T11:33:37Z</dcterms:modified>
</cp:coreProperties>
</file>