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Белыничский районный исполнительный комитет</w:t>
      </w: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Отдел идеологической работы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 xml:space="preserve"> культуры и по делам молодежи райисполкома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МАТЕРИАЛ</w:t>
      </w: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для информационно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пропагандистских групп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8"/>
          <w:szCs w:val="48"/>
          <w:b w:val="1"/>
          <w:bCs w:val="1"/>
          <w:color w:val="auto"/>
        </w:rPr>
        <w:t>«</w:t>
      </w:r>
      <w:r>
        <w:rPr>
          <w:rFonts w:ascii="Times New Roman" w:cs="Times New Roman" w:eastAsia="Times New Roman" w:hAnsi="Times New Roman"/>
          <w:sz w:val="48"/>
          <w:szCs w:val="48"/>
          <w:b w:val="1"/>
          <w:bCs w:val="1"/>
          <w:color w:val="auto"/>
        </w:rPr>
        <w:t>Молодежь Беларуси</w:t>
      </w:r>
      <w:r>
        <w:rPr>
          <w:rFonts w:ascii="Times New Roman" w:cs="Times New Roman" w:eastAsia="Times New Roman" w:hAnsi="Times New Roman"/>
          <w:sz w:val="48"/>
          <w:szCs w:val="48"/>
          <w:b w:val="1"/>
          <w:bCs w:val="1"/>
          <w:color w:val="auto"/>
        </w:rPr>
        <w:t>:</w:t>
      </w:r>
      <w:r>
        <w:rPr>
          <w:rFonts w:ascii="Times New Roman" w:cs="Times New Roman" w:eastAsia="Times New Roman" w:hAnsi="Times New Roman"/>
          <w:sz w:val="48"/>
          <w:szCs w:val="48"/>
          <w:b w:val="1"/>
          <w:bCs w:val="1"/>
          <w:color w:val="auto"/>
        </w:rPr>
        <w:t xml:space="preserve"> возможности для самореализации</w:t>
      </w:r>
      <w:r>
        <w:rPr>
          <w:rFonts w:ascii="Times New Roman" w:cs="Times New Roman" w:eastAsia="Times New Roman" w:hAnsi="Times New Roman"/>
          <w:sz w:val="48"/>
          <w:szCs w:val="48"/>
          <w:b w:val="1"/>
          <w:bCs w:val="1"/>
          <w:color w:val="auto"/>
        </w:rPr>
        <w:t>»</w:t>
      </w:r>
    </w:p>
    <w:p>
      <w:pPr>
        <w:spacing w:after="0" w:line="369" w:lineRule="exact"/>
        <w:rPr>
          <w:sz w:val="24"/>
          <w:szCs w:val="24"/>
          <w:color w:val="auto"/>
        </w:rPr>
      </w:pPr>
    </w:p>
    <w:p>
      <w:pPr>
        <w:ind w:left="1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b w:val="1"/>
          <w:bCs w:val="1"/>
          <w:color w:val="auto"/>
        </w:rPr>
        <w:t>Молодежная политика в Белыничском районе</w:t>
      </w: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ind w:left="1980" w:right="1640" w:hanging="35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b w:val="1"/>
          <w:bCs w:val="1"/>
          <w:color w:val="auto"/>
        </w:rPr>
        <w:t>«</w:t>
      </w:r>
      <w:r>
        <w:rPr>
          <w:rFonts w:ascii="Times New Roman" w:cs="Times New Roman" w:eastAsia="Times New Roman" w:hAnsi="Times New Roman"/>
          <w:sz w:val="29"/>
          <w:szCs w:val="29"/>
          <w:b w:val="1"/>
          <w:bCs w:val="1"/>
          <w:color w:val="auto"/>
        </w:rPr>
        <w:t>О соблюдении мер пожарной безопасности в организациях Могилевской области</w:t>
      </w:r>
      <w:r>
        <w:rPr>
          <w:rFonts w:ascii="Times New Roman" w:cs="Times New Roman" w:eastAsia="Times New Roman" w:hAnsi="Times New Roman"/>
          <w:sz w:val="29"/>
          <w:szCs w:val="29"/>
          <w:b w:val="1"/>
          <w:bCs w:val="1"/>
          <w:color w:val="auto"/>
        </w:rPr>
        <w:t>»</w:t>
      </w: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ЧАЛАВЕК СЛАЎНЫ ПРАЦАЙ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І зямля ѐй усміхаецца</w:t>
      </w:r>
    </w:p>
    <w:p>
      <w:pPr>
        <w:sectPr>
          <w:pgSz w:w="11900" w:h="16838" w:orient="portrait"/>
          <w:cols w:equalWidth="0" w:num="1">
            <w:col w:w="9220"/>
          </w:cols>
          <w:pgMar w:left="1420" w:top="849" w:right="1266" w:bottom="36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ind w:left="3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г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Белыничи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,</w:t>
      </w:r>
    </w:p>
    <w:p>
      <w:pPr>
        <w:ind w:left="380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август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220"/>
          </w:cols>
          <w:pgMar w:left="1420" w:top="849" w:right="1266" w:bottom="360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Молодежь Беларуси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возможности для самореализации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1426" w:hanging="718"/>
        <w:spacing w:after="0"/>
        <w:tabs>
          <w:tab w:leader="none" w:pos="1426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Демографическая   характеристика   молодежи   в   Могилевской</w:t>
      </w:r>
    </w:p>
    <w:p>
      <w:pPr>
        <w:ind w:left="6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области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Численность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204 599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(19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процентов от общей численности жителей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 городское население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179 376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сельское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- 25 223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986" w:hanging="278"/>
        <w:spacing w:after="0"/>
        <w:tabs>
          <w:tab w:leader="none" w:pos="986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Молодежь и образование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ind w:left="6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Динамика количества учащейся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ind w:left="1566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Учреждения профессионально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технического образования</w:t>
      </w:r>
    </w:p>
    <w:tbl>
      <w:tblPr>
        <w:tblLayout w:type="fixed"/>
        <w:tblInd w:w="796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70"/>
        </w:trPr>
        <w:tc>
          <w:tcPr>
            <w:tcW w:w="27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2013/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2014/</w:t>
            </w:r>
          </w:p>
        </w:tc>
        <w:tc>
          <w:tcPr>
            <w:tcW w:w="116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2015/</w:t>
            </w:r>
          </w:p>
        </w:tc>
        <w:tc>
          <w:tcPr>
            <w:tcW w:w="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2016/</w:t>
            </w:r>
          </w:p>
        </w:tc>
        <w:tc>
          <w:tcPr>
            <w:tcW w:w="11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2017/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2014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2015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2016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2017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2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4"/>
        </w:trPr>
        <w:tc>
          <w:tcPr>
            <w:tcW w:w="2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Численность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учащихся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тыс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  <w:w w:val="97"/>
              </w:rPr>
              <w:t>10,6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10,3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10,0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9,6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9,0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7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человек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27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736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jc w:val="center"/>
              <w:ind w:left="98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Учреждения среднего специального образования</w:t>
            </w: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4"/>
        </w:trPr>
        <w:tc>
          <w:tcPr>
            <w:tcW w:w="27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2013/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2014/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2015/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2016/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2017/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7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2014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2015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2016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2017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2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1"/>
        </w:trPr>
        <w:tc>
          <w:tcPr>
            <w:tcW w:w="270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Численность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70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учащихся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тыс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  <w:w w:val="97"/>
              </w:rPr>
              <w:t>16,2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14,9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13,5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  <w:w w:val="97"/>
              </w:rPr>
              <w:t>13,2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  <w:w w:val="97"/>
              </w:rPr>
              <w:t>12,7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70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человек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2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40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jc w:val="center"/>
              <w:ind w:left="194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Учреждения высшего образования</w:t>
            </w: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2"/>
        </w:trPr>
        <w:tc>
          <w:tcPr>
            <w:tcW w:w="270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Численность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2013/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2014/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2015/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2016/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2017/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70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учащихся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тыс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700" w:type="dxa"/>
            <w:vAlign w:val="bottom"/>
            <w:tcBorders>
              <w:lef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2014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2015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2016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2017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270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человек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0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700" w:type="dxa"/>
            <w:vAlign w:val="bottom"/>
            <w:tcBorders>
              <w:lef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2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3"/>
        </w:trPr>
        <w:tc>
          <w:tcPr>
            <w:tcW w:w="27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  <w:w w:val="97"/>
              </w:rPr>
              <w:t>36,1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33,0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</w:rPr>
              <w:t>30,6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  <w:w w:val="97"/>
              </w:rPr>
              <w:t>28,5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333333"/>
                <w:w w:val="97"/>
              </w:rPr>
              <w:t>25,8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27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6" w:firstLine="702"/>
        <w:spacing w:after="0" w:line="235" w:lineRule="auto"/>
        <w:tabs>
          <w:tab w:leader="none" w:pos="1070" w:val="left"/>
        </w:tabs>
        <w:numPr>
          <w:ilvl w:val="1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Могилевской области создана система мер по социальной поддержке талантливой и с ярко выраженными организаторскими способностями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Ежегодно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начиная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2003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лучшим учащимся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студентам и молодым работникам присуждается специальная премия Могилевского областного комитета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right="20" w:hanging="6"/>
        <w:spacing w:after="0" w:line="235" w:lineRule="auto"/>
        <w:tabs>
          <w:tab w:leader="none" w:pos="237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социальной сфере с вручением диплома и денежного вознаграждения в размере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базовых величин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Совершенствуется механизм государственной поддержки талантливой молодежи на региональном уровне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Премии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стипендии победителям олимпиад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конкурсов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соревнований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имеющей высокий уровень достижений в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</w:p>
    <w:p>
      <w:pPr>
        <w:sectPr>
          <w:pgSz w:w="11900" w:h="16838" w:orient="portrait"/>
          <w:cols w:equalWidth="0" w:num="1">
            <w:col w:w="10066"/>
          </w:cols>
          <w:pgMar w:left="994" w:top="849" w:right="846" w:bottom="137" w:gutter="0" w:footer="0" w:header="0"/>
        </w:sectPr>
      </w:pPr>
    </w:p>
    <w:bookmarkStart w:id="2" w:name="page3"/>
    <w:bookmarkEnd w:id="2"/>
    <w:p>
      <w:pPr>
        <w:ind w:lef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трудовой и общественной деятельности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учреждены во многих горрайисполкомах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Социальная поддержка осуществляется также рядом предприятий и организаций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137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учреждениях высшего образования действует система привлечения студентов к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исследовательской работе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Ее организация является одним из важнейших факторов подготовки высококвалифицированных специалистов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способных на высоком теоретическом и техническом уровне самостоятельно решать сложные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технические задачи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Основными формами являются участие студентов в выполнении госбюджетных и хоздоговорных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исследовательских работ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исследованиях индивидуально с научным руководителем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работа в студенческом конструкторском бюро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исследовательской лаборатории и 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каждым годом все больший интерес вызывает исследовательская деятельность школьников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Ее развитию способствует областной конкурс исследовательских работ по учебным предметам учащихся учреждений общего среднего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который проводится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2002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Ежегодно в областном этапе принимают участие более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работ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14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Могилевской области функционируют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детских школ искусств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учащиеся которых принимают активное участие в международных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республиканских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региональных творческих конкурсах и фестивалях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ежегодно получают поощрения специального фонда Президента Республики Беларусь по поддержке талантливой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первом полугодии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удостоены поощрений фонда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058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государственном учреждении высшего профессионального образования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Белорусско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Российский университет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участием молодых ученых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этого же учреждения образования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выполнялось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задания по Государственным программам научных исследований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Энергетические системы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процессы и технологии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Фотоника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микороэлектроника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Механика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металлургия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диагностика в машиностроении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Физическое материаловедение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новые материалы и технологии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Конвергенция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2020»,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заданий по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Государственным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техническим программам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Машиностроение и машиностроительные технологии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5" w:lineRule="auto"/>
        <w:tabs>
          <w:tab w:leader="none" w:pos="1168" w:val="left"/>
        </w:tabs>
        <w:numPr>
          <w:ilvl w:val="1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БРУ функционирует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техническая лаборатория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Волоконно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оптическая диагностика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имеющая в своем составе единственное в Республике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Беларусь производство современного эндоскопического оборудования технического применения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 лабораторией по техническим заданиям заказчиков выполнено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исследовательских и опытно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конструкторских работ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связанных с разработкой средств диагностики труднодоступных мест объектов различного назначения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72" w:val="left"/>
        </w:tabs>
        <w:numPr>
          <w:ilvl w:val="1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 учреждении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Могилевский государственный университет продовольствия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разработаны ряд объектов пищевой продукции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например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напиток ферментированный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Квас березовый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сок березово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лимонный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hanging="6"/>
        <w:spacing w:after="0" w:line="236" w:lineRule="auto"/>
        <w:tabs>
          <w:tab w:leader="none" w:pos="306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сахаром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видов новой полимерной продукции с улучшенными свойствами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видов полимерных волокон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видов нитей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новых полимерных композиции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вида нетканых материалов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Обеспечение занятости молодежи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3</w:t>
      </w:r>
    </w:p>
    <w:p>
      <w:pPr>
        <w:sectPr>
          <w:pgSz w:w="11900" w:h="16838" w:orient="portrait"/>
          <w:cols w:equalWidth="0" w:num="1">
            <w:col w:w="10066"/>
          </w:cols>
          <w:pgMar w:left="994" w:top="844" w:right="846" w:bottom="137" w:gutter="0" w:footer="0" w:header="0"/>
        </w:sectPr>
      </w:pPr>
    </w:p>
    <w:bookmarkStart w:id="3" w:name="page4"/>
    <w:bookmarkEnd w:id="3"/>
    <w:p>
      <w:pPr>
        <w:jc w:val="both"/>
        <w:ind w:firstLine="702"/>
        <w:spacing w:after="0" w:line="237" w:lineRule="auto"/>
        <w:tabs>
          <w:tab w:leader="none" w:pos="1008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первом полугодии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Могилевской области зарегистрировано в качестве безработных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2,8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тысяч молодых граждан в возрасте 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составило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26,9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процентов от общего числа безработных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оказано содействие в трудоустройстве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2,2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молодым людям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8" w:lineRule="auto"/>
        <w:tabs>
          <w:tab w:leader="none" w:pos="977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январе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июне текущего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безработным гражданам из числа молодежи выданы субсидии за счет средств бюджета государственного фонда социальной помощи населения Республики Беларусь для организации предпринимательской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ремесленной деятельности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Молодыми гражданами организованы парикмахерские услуги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услуги пассажирского и грузового транспорта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услуги по отделочным работам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ремесленная деятельность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изготовление изделий из кожи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кукол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мыла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первом полугодии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рамках трудоустройства безработных для приобретения опыта практической деятельности работы по полученной специальности трудоустроен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безработный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Одной из самых актуальных и достаточно хорошо зарекомендовавших себя форм работы с молодежью является организация временной трудовой занятости учащейся молодежи в свободное от учебы время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 Могилевской области запланировано обеспечить временной трудовой занятостью не менее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тысяч человек из числа учащейся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Молодежь в составе гражданского общества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Одним из важных направлений государственной молодежной политики является переподготовка государственных служащих и специалистов по работе с молодежью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поиск ярких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талантливых лидеров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результате проведения молодежной кадровой политики более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 включены в перспективный кадровый резерв городских и районных исполнительных комитетов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реализации индивидуального подхода к подготовке управленцев используются различные формы работы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стажировка в городских и районных исполнительных комитетах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участие в общественно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политических мероприятиях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работа на созданных только в Могилевской области инновационных площадках по изучению опыта организации идеологической работы по различным направлениям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14"/>
        <w:spacing w:after="0" w:line="238" w:lineRule="auto"/>
        <w:tabs>
          <w:tab w:leader="none" w:pos="1039" w:val="left"/>
        </w:tabs>
        <w:numPr>
          <w:ilvl w:val="1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целью популяризации среди молодежи системы местного управления и самоуправления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выявления лидеров молодежного движения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предоставления молодежи возможности участия в разработке и реализации городских и районных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экономических программ при Могилевском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Бобруйском городских Совете депутатов и Кричевском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Климовичском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Осиповичском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Чаусском районных Советах депутатов организуют свою работу молодежные парламенты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4" w:lineRule="auto"/>
        <w:tabs>
          <w:tab w:leader="none" w:pos="1001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области налажено взаимодействие государственных структур по работе с молодежью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детских и молодежных общественных объединений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Самыми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многочисленными являются Белорусский республиканский союз молодежи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численность в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- 39 193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Белорусская республиканская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пионерская организация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(83 700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Белорусская молодежная общественная организация спасателей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пожарных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(21000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2"/>
        <w:spacing w:after="0" w:line="234" w:lineRule="auto"/>
        <w:tabs>
          <w:tab w:leader="none" w:pos="1056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Могилевской областной организации РОО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Белая 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состоит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7110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молодых людей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(35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процентов от общей численности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2"/>
        <w:spacing w:after="0" w:line="234" w:lineRule="auto"/>
        <w:tabs>
          <w:tab w:leader="none" w:pos="1073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резерв кадров местных исполнительных и распорядительных органов включено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членов БРСМ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перспективный кадровый резерв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318.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Волонтерское движение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</w:t>
      </w:r>
    </w:p>
    <w:p>
      <w:pPr>
        <w:sectPr>
          <w:pgSz w:w="11900" w:h="16838" w:orient="portrait"/>
          <w:cols w:equalWidth="0" w:num="1">
            <w:col w:w="10060"/>
          </w:cols>
          <w:pgMar w:left="1000" w:top="858" w:right="846" w:bottom="137" w:gutter="0" w:footer="0" w:header="0"/>
        </w:sectPr>
      </w:pPr>
    </w:p>
    <w:bookmarkStart w:id="4" w:name="page5"/>
    <w:bookmarkEnd w:id="4"/>
    <w:p>
      <w:pPr>
        <w:ind w:left="6" w:firstLine="702"/>
        <w:spacing w:after="0" w:line="234" w:lineRule="auto"/>
        <w:tabs>
          <w:tab w:leader="none" w:pos="1161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Могилевской области действует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282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волонтерских отряда общей численностью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4038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Волонтеры принимают активное участие в благотворительных акциях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благоустройстве памятников и воинских захоронений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оказывают посильную помощь ветеранам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пожилым людям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инвалидам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находящимся в социальных учреждениях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многодетных и малообеспеченных семьях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986" w:hanging="278"/>
        <w:spacing w:after="0"/>
        <w:tabs>
          <w:tab w:leader="none" w:pos="986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период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апреля по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июля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Могилевской областной организацией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hanging="6"/>
        <w:spacing w:after="0" w:line="238" w:lineRule="auto"/>
        <w:tabs>
          <w:tab w:leader="none" w:pos="683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организовано ряд мероприятий направленных на развитие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популяризацию движения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на помощь нуждающимся людям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Наиболее яркими и интересными проектами и акциями волонтерских отрядов ОО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Доброе Сердце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являются акции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Мы выбираем помощь пожилым людям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Ветеран живет рядом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Лучший подарок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внимание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Пасхальный кулич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Неделя добра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6" w:lineRule="auto"/>
        <w:tabs>
          <w:tab w:leader="none" w:pos="1034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ходе проведения республиканского благотворительного марафона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 краски жизни для тебя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объектом заботы волонтеров стала Назаревич Варвара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диагноз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II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типа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Благодаря марафону было собрано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2770,95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рублей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Растет   численность   единой   группы   в   социальной   сети   ВКонтакте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Волонтеры Могилевской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(https://vk.com/volontery_mogbrsm),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которая насчитывает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2215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регулярно размещается информацию о деятельности волонтерских отрядов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ежемесячно проходит голосования на лучшего волонтера месяца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Взаимодействие с самоорганизованной молодежью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998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целях поддержки молодежных творческих инициатив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создания условий для профессионального становления и развития творческих способностей молодежи в Могилевской области проводятся многочисленные фестивали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смотры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конкурсы художественной самодеятельности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например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конкурс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Кулинарный бренд Могилевщины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интеллектуальные игры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Мартовский лев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Зимний лис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игры КВН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проекты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Мужество и талант Бобруйского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Глушчина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такая маленькая Родина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214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первом полугодии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совместно с представительством Россотрудничества в Республике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культурным общественным объединением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Наследие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проведен молодежный конкурс фотографий и рисунков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Мир ЕАЭС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Формирование здорового образа жизни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оказания физкультурно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оздоровительных услуг населению Могилевская область обладает современной спортивной базой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Действует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3598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спортивных объектов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 регулярным занятиям физической культурой привлечено свыше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238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тысяч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Кроме традиционных спортивных и туристических мероприятий в области проводится работа по созданию условий для развития популярных экстремальных направлений в спорте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воркаута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велотриала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скейтбординга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роллер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спорта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6" w:lineRule="auto"/>
        <w:tabs>
          <w:tab w:leader="none" w:pos="1142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Бобуйске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Могилевском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Бобруйском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Чериковском оборудованы площадки с комплексными приспособлениями для занятий уличной гимнастикой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2"/>
        <w:spacing w:after="0" w:line="235" w:lineRule="auto"/>
        <w:tabs>
          <w:tab w:leader="none" w:pos="1007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Бобруйске функционируют оборудованные площадки для занятий скейтбордингом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роллер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спортом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0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</w:t>
      </w:r>
    </w:p>
    <w:p>
      <w:pPr>
        <w:sectPr>
          <w:pgSz w:w="11900" w:h="16838" w:orient="portrait"/>
          <w:cols w:equalWidth="0" w:num="1">
            <w:col w:w="10066"/>
          </w:cols>
          <w:pgMar w:left="994" w:top="858" w:right="846" w:bottom="137" w:gutter="0" w:footer="0" w:header="0"/>
        </w:sectPr>
      </w:pPr>
    </w:p>
    <w:bookmarkStart w:id="5" w:name="page6"/>
    <w:bookmarkEnd w:id="5"/>
    <w:p>
      <w:pPr>
        <w:ind w:left="986" w:hanging="278"/>
        <w:spacing w:after="0"/>
        <w:tabs>
          <w:tab w:leader="none" w:pos="986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большинстве районов области имеются скалодромы для развития навыков</w:t>
      </w:r>
    </w:p>
    <w:p>
      <w:pPr>
        <w:ind w:left="226" w:hanging="226"/>
        <w:spacing w:after="0"/>
        <w:tabs>
          <w:tab w:leader="none" w:pos="226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умения скалолазанья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проводятся соревнования по лезертагу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велотриалу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Укрепление института семьи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14"/>
        <w:spacing w:after="0" w:line="238" w:lineRule="auto"/>
        <w:tabs>
          <w:tab w:leader="none" w:pos="1079" w:val="left"/>
        </w:tabs>
        <w:numPr>
          <w:ilvl w:val="2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Могилевской области проводится определенная работа по пропаганде семейных ценностей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распространению опыта лучших молодых семей в воспитании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Работают клубы молодой семьи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проводятся просветительские акции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спортивные мероприятия под лозунгом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папа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спортивная семья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районные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областной этапы молодежного семейного сельскохозяйственного проекта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Властелин села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Традиционно областной этап проекта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Властелин села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проходит во время праздника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Купалье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Александрия собирает друзей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20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Продолжается работа по реализации дополнительной меры поддержки многодетных семей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января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местные исполнительные и распорядительные органы поступило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5973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заявления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отношении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5896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семей приняты решения о назначении семейного капитала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20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Значительное развитие получила система социального обслуживания семей с детьми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Такие услуги предоставляют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территориальных центров социального обслуживания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20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Среди молодых семей наиболее востребованной является услуга почасового ухода за детьми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которая предоставляется семьям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воспитывающим двоих и более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родившихся одновременно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двойни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тройни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возрасте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инвалидов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родителям с инвалидностью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области в первом полугодии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данной услугой воспользовались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112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семей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Профилактика асоциальных проявлений в молодежной среде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итогам работы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сравнении с аналогичным периодом прошлого года на территории области отмечается снижение уровня подростковой преступности со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80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25,9%,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числа участников преступлений со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83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23,8%.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Снизился удельный вес преступлений несовершеннолетних в общей структуре преступности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2,7%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2,3%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республике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2,5%).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территории области не зарегистрировано причинения тяжких телесных повреждений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изнасилований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разбоев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Сократилось число преступлений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связанных с незаконным оборотом наркотиков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73,7%.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Особое внимание уделяется информированию обучающейся молодежи об ответственности за совершение преступлений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 с использованием компьютерной техники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Традиционным стало проведение декад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недель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правовых знаний с приглашением специалистов и сотрудников заинтересованных ведомств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22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социальных сетях Интернет инспекциями по делам несовершеннолетних области созданы и действуют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открытых группы по правовому просвещению несовершеннолетних и их родителей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возможностью общения в социальной сети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общей численностью более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участников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подписчиков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Проведен ряд областных профилактических акций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дало возможность охватить информационно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разъяснительной работой значительное число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6" w:lineRule="auto"/>
        <w:tabs>
          <w:tab w:leader="none" w:pos="1077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молодежном правоохранительном движении принимает участие более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2500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итогам работы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 лучшими признаны молодежные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отряды охраны правопорядка Осиповичского и Славгородского районов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6</w:t>
      </w:r>
    </w:p>
    <w:p>
      <w:pPr>
        <w:sectPr>
          <w:pgSz w:w="11900" w:h="16838" w:orient="portrait"/>
          <w:cols w:equalWidth="0" w:num="1">
            <w:col w:w="10066"/>
          </w:cols>
          <w:pgMar w:left="994" w:top="844" w:right="846" w:bottom="137" w:gutter="0" w:footer="0" w:header="0"/>
        </w:sectPr>
      </w:pPr>
    </w:p>
    <w:bookmarkStart w:id="6" w:name="page7"/>
    <w:bookmarkEnd w:id="6"/>
    <w:p>
      <w:pPr>
        <w:jc w:val="both"/>
        <w:ind w:firstLine="702"/>
        <w:spacing w:after="0" w:line="237" w:lineRule="auto"/>
        <w:tabs>
          <w:tab w:leader="none" w:pos="999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акцентом на альтернативные оздоровительные формы досуга молодежи в области стало традиционным проведение спартакиады актива ОО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конкурсов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Огонь танца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Битва диджеев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любительские соревнования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Ралли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Могилев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Автоледи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Основные направления дальнейшего совершенствования государственной молодежной политики в Могилевской области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совершенствование работы по подбору и обучению лидеров в трудовых коллективах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формированию качественного резерва кадров на замещение руководящих должностей из числа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работа с перспективным кадровым резервом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 w:right="20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создание и организация деятельности областного Молодежного парламента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поддержка общественно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значимых проектов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совершенствование профориентационной работы с учетом рынка труда в Могилевской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развитие молодежного международного сотрудничества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Сегодня молодежное участие рассматривается во всем мире как фундаментальный принцип молодежной политики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Ключевая идея молодежного участия заключается в предоставлении молодым людям возможности оказывать влияние на все вопросы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затрагивают их жизнь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Государство не контролирует молодежь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помогает развивать потенциал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Очень важно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4240" w:right="280" w:hanging="4246"/>
        <w:spacing w:after="0" w:line="2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молодые люди становились инициаторами позитивных изменений в обществе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Главное управление идеологической работы и по делам молодежи облисполкома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Молодежная политика в Белыничском районе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данным Национального статистического комитета Республики Беларусь в Белыничском районе проживает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3076 (1730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городской местности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 в возрасте 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составляет около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15,7%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общего количества жителей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982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районе разработан комплекс мероприятий по реализации Государственной программы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Образование и молодежная политика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Реализуется Государственная программа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Здоровье народа и демографическая безопасность 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Большое внимание уделяется проведению мероприятий по всестороннему воспитанию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содействию ее гражданскому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духовному и нравственному развитию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формированию у молодежи патриотизма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национального самосознания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правовой и политической культуры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целью проведения работы по поиску и продвижению талантливой молодежи отделом по образованию райисполкома проводится определенная работа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учащиеся привлекаются к участию в олимпиадном движении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интернет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форумах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семинарах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конкурсах различных уровней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исследовательской деятельности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Сведения об учащихся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добившихся наилучших результатов в проводимых мероприятиях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вносятся в банки данных одаренных учащихся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созданы в отделе по образованию райисполкома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учреждениях образования района и поддерживаются в актуальном состоянии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7</w:t>
      </w:r>
    </w:p>
    <w:p>
      <w:pPr>
        <w:sectPr>
          <w:pgSz w:w="11900" w:h="16838" w:orient="portrait"/>
          <w:cols w:equalWidth="0" w:num="1">
            <w:col w:w="10060"/>
          </w:cols>
          <w:pgMar w:left="1000" w:top="858" w:right="846" w:bottom="137" w:gutter="0" w:footer="0" w:header="0"/>
        </w:sectPr>
      </w:pPr>
    </w:p>
    <w:bookmarkStart w:id="7" w:name="page8"/>
    <w:bookmarkEnd w:id="7"/>
    <w:p>
      <w:pPr>
        <w:ind w:left="70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протяжении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 в летнее время в районе организуется работа лагеря с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круглосуточным пребыванием по профилю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Интеллектуал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для высокомотивированных учащихся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130" w:val="left"/>
        </w:tabs>
        <w:numPr>
          <w:ilvl w:val="1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районе организована работа по поддержке талантливой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Ежегодно на протяжении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 проводится районное мероприятие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Фабрика звезд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награждаются учащиеся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добившиеся высоких результатов в учебной деятельности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олимпиадном движении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спорте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творческих конкурсах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Учреждена премия райисполкома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Лучший по профессии среди молодежи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Ежегодно проводятся соревнования среди молодежных зерноуборочных экипажей и молодых водителей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занятых на отвозке зерна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лучшие из которых награждаются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4" w:lineRule="auto"/>
        <w:tabs>
          <w:tab w:leader="none" w:pos="1075" w:val="left"/>
        </w:tabs>
        <w:numPr>
          <w:ilvl w:val="1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течение января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июня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управлении по труду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занятости и социальной защите райисполкома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управление по труду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зарегистрировано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hanging="6"/>
        <w:spacing w:after="0" w:line="238" w:lineRule="auto"/>
        <w:tabs>
          <w:tab w:leader="none" w:pos="225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качестве безработных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 в возрасте 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28 %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общей численности безработных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оказано содействие в трудоустройстве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составляет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29 %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численности трудоустроенных безработных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оказаны профориентационные услуги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молодым гражданам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направлено на обучение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целью содействия временной трудовой занятости учащейся молодежи в свободное от учебы время управлением по труду в районе организуются ежегодные мероприятия временной трудовой занятости учащихся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финансируемые за счет средств бюджета государственного внебюджетного фонда социальной защиты населения 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бюджет фонда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right="20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Управлением по труду заключаются договоры об организации и финансировании временной трудовой занятости учащихся с отделом по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образованию райисполкома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учреждением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Белыничская государственная вспомогательная школа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интернат для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 и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оставшихся без попечения родителей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6" w:lineRule="auto"/>
        <w:tabs>
          <w:tab w:leader="none" w:pos="1029" w:val="left"/>
        </w:tabs>
        <w:numPr>
          <w:ilvl w:val="1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рамках данных мероприятий учащиеся выполняют работы по текущему ремонту помещений учреждений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благоустройству и озеленению прилегающей территории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изготовлению швейных изделий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целью информирования учащейся молодежи о возможностях временного трудоустройства в свободное от учебы время размещены информационные материалы на интернет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сайте Белыничского райисполкома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районной газете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Зара над Друццю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интернет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сайте Министерства труда и социальной защиты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005" w:val="left"/>
        </w:tabs>
        <w:numPr>
          <w:ilvl w:val="1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из средств бюджета фонда предусмотрено выделение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31,8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мероприятия временной трудовой занятости учащихся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запланировано направить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160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состоянию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01.07.2018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заключено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договоров с организаторами работ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профинансировано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13,3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направлено на работу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80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учреждения общего среднего образования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-49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учреждение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Белыничская государственная вспомогательная школа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интернат для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 и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оставшихся без попечения родителей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- 31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8</w:t>
      </w:r>
    </w:p>
    <w:p>
      <w:pPr>
        <w:sectPr>
          <w:pgSz w:w="11900" w:h="16838" w:orient="portrait"/>
          <w:cols w:equalWidth="0" w:num="1">
            <w:col w:w="10066"/>
          </w:cols>
          <w:pgMar w:left="994" w:top="844" w:right="846" w:bottom="137" w:gutter="0" w:footer="0" w:header="0"/>
        </w:sectPr>
      </w:pPr>
    </w:p>
    <w:bookmarkStart w:id="8" w:name="page9"/>
    <w:bookmarkEnd w:id="8"/>
    <w:p>
      <w:pPr>
        <w:jc w:val="both"/>
        <w:ind w:left="6" w:firstLine="702"/>
        <w:spacing w:after="0" w:line="236" w:lineRule="auto"/>
        <w:tabs>
          <w:tab w:leader="none" w:pos="974" w:val="left"/>
        </w:tabs>
        <w:numPr>
          <w:ilvl w:val="1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рамках данных мероприятий учащимися производятся работы по текущему ремонту помещений, благоустройству, озеленению территории учреждений образования, выращиванию овощной продукции, пошиву постельного белья.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4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Совместно с отделом по образованию райисполкома постоянно ведется работа по выявлению и учету несовершеннолетних выпускников учреждений общего среднего образования, не поступивших на учебу в учреждения профессионально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технического, среднего специального и высшего образования, нетрудоустроенных, а также прекративших обучение до окончания срока обучения.</w:t>
      </w:r>
    </w:p>
    <w:p>
      <w:pPr>
        <w:spacing w:after="0" w:line="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Деятельность молодежных общественных объединений – это одна из форм представительства интересов молодежи. Весомый вклад в реализацию государственной молодежной политики вносят структуры Белорусского республиканского союза молодежи.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состоянию на 01.07.2018 года Белыничская районная организация общественного объединения «Белорусский республиканский союз молодежи» (далее – ОО «БРСМ») насчитывает 661 члена в возрасте от 14 до 31 года, а это 32 первичные организации (далее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ПО) по всему району. На базе учреждений образования создано 12 ПО, 4 – на сельскохозяйственных предприятиях, остальные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hanging="6"/>
        <w:spacing w:after="0" w:line="237" w:lineRule="auto"/>
        <w:tabs>
          <w:tab w:leader="none" w:pos="23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различных структурах и ведомствах. Согласно решению 43 Съезда ОО «БРСМ» от 30 мая 2018 года №1 организация осуществляет свою деятельность по следующим направлениям: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Беларусь – крыніца натхнення (гражданско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патриотическое воспитание молодежи 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Труд – крут! (трудоустройство молодежи);</w:t>
      </w: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БРСМ: живи ярко! (поддержка одаренной и талантливой молодежи);</w:t>
      </w: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БРСМ: будь здоров! (здоровый образ жизни);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БРСМ: твори добро! (добровольчество и волонтерское движение ОО «БРСМ» «Доброе сердце»);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БРСМ: энергия твоей жизни (взаимодействие с партнерскими организациями, международное сотрудничество);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БРСМ: будь с нами! (информационно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имиджевая деятельность).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9" w:lineRule="auto"/>
        <w:tabs>
          <w:tab w:leader="none" w:pos="1130" w:val="left"/>
        </w:tabs>
        <w:numPr>
          <w:ilvl w:val="1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районной организации ОО «БРСМ» представлено каждое из этих направлений по средством реализации таких проектов и акций как «Цветы Великой Победы», «За любимую Беларусь», «Мы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граждане Беларуси!», деятельность молодежных отрядов охраны правопорядка, «Мы выбираем помощь пожилым людям», «В школу с Добрым сердцем», «Выбираем студотряд!», «Молодежь против курения» и многие другие. Помимо основных мероприятий, Белыничский районный комитет является организатором или участником различного рода районных мероприятий, проводимых в рамках реализации государственной молодежной политики в районе и поддержания имиджа молодежного движения. Это и вечера отдыха для работающей молодежи, соревнования среди трудовых коллективов, участие во флешмобах и др.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целью стимулирования молодых граждан, принявших решение стать членом ОО «БРСМ», в феврале 2017 года было утверждено ПОЛОЖЕНИЕ о молодежном билете Общественного объединения «Белорусский республиканский союз молодежи». Белорусский республиканский союз молодежи совместно с компанией Мобил Авто Хэлп Компани (AUTOHELP ТМ) реализовали проект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9</w:t>
      </w:r>
    </w:p>
    <w:p>
      <w:pPr>
        <w:sectPr>
          <w:pgSz w:w="11900" w:h="16838" w:orient="portrait"/>
          <w:cols w:equalWidth="0" w:num="1">
            <w:col w:w="10066"/>
          </w:cols>
          <w:pgMar w:left="994" w:top="858" w:right="846" w:bottom="137" w:gutter="0" w:footer="0" w:header="0"/>
        </w:sectPr>
      </w:pPr>
    </w:p>
    <w:bookmarkStart w:id="9" w:name="page10"/>
    <w:bookmarkEnd w:id="9"/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Молодѐжный билет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твоя социальная поддержка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Билет нового образца представляет собой пластиковую карточку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также размещена фотография владельца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рамках программы все держатели пластиковых карт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членских билетов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установленного образца могут стать участниками программы лояльности организаций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партнеров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AUTOHELP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территории 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Белыничском районе первыми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кто стал обладателем молодежного билета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стали участники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Съезда ОО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 стороны Белыничского районного исполнительного комитета проводится работа по вовлечению молодежи в ряды ОО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наиболее активные участники поощряются грамотами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диплома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подарками во время проведения значимых мероприятий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праздновании профессиональных праздников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Количество молодых граждан в РОО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Белая 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составляет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ФПБ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1251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80" w:hanging="278"/>
        <w:spacing w:after="0"/>
        <w:tabs>
          <w:tab w:leader="none" w:pos="980" w:val="left"/>
        </w:tabs>
        <w:numPr>
          <w:ilvl w:val="1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ГУО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Техтинский учебно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педагогический комплекс детский сад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средняя школа Белыничского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вступили в проект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Сеть школ мира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Вот уже почти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 школа является Школой мира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это время юными миротворцами сделано немало добрых дел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Ребята участвуют в благотворительных акциях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оказывают посильную помощь ветеранам войны и труда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инвалидам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одиноко проживающим пенсионерам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Областное отделение общественного объединения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Белорусский фонд мира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поощряет самых активных миротворцев Школы мира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/>
        <w:spacing w:after="0" w:line="22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Symbol" w:cs="Symbol" w:eastAsia="Symbol" w:hAnsi="Symbol"/>
          <w:sz w:val="22"/>
          <w:szCs w:val="22"/>
          <w:color w:val="auto"/>
        </w:rPr>
        <w:t>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 организуются экскурсионные поездки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2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Symbol" w:cs="Symbol" w:eastAsia="Symbol" w:hAnsi="Symbol"/>
          <w:sz w:val="22"/>
          <w:szCs w:val="22"/>
          <w:color w:val="auto"/>
        </w:rPr>
        <w:t>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целью благоустройства и укрепления материально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технической базы оказывается материальная помощь учреждению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школах района созданы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волонтерских отрядов Белорусского общества Красного Креста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принимают активное участие в проводимых мероприятиях и акциях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акция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Забота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 Дню пожилых людей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мероприятия и акции направленные на формирования здорового образа жизни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акция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Наши ветераны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районе ежегодно разрабатывается единый календарный план спортивно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массовых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физкультурно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оздоровительных и туристических мероприятий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предусмотрено проведение районной спартакиады учащихся учреждения общего среднего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спартакиада среди руководящего звена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спартакиада среди детей и подростков по месту жительства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спартакиада среди трудовых коллективов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привлечения населения района к активным занятиям физической культурой и спортом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районе проведено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спортивно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массовых мероприятий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которых приняло участие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3697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развития альпинизма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экстремального вида спорта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созданы необходимые условия в ГУО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Многопрофильный центр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Ветразь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в ГУО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Светиловичский учебно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педагогический комплекс детский сад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средняя школа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спортивных залах учреждений оборудованы скалодромы для занятий альпинизмом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развития роллер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спорта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государственным учреждением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Белыничский центр физкультурно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оздоровительной и спортивной работы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предоставляется услуга по организации проката роликов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Также для жителей и гостей района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10</w:t>
      </w:r>
    </w:p>
    <w:p>
      <w:pPr>
        <w:sectPr>
          <w:pgSz w:w="11900" w:h="16838" w:orient="portrait"/>
          <w:cols w:equalWidth="0" w:num="1">
            <w:col w:w="10060"/>
          </w:cols>
          <w:pgMar w:left="1000" w:top="858" w:right="846" w:bottom="137" w:gutter="0" w:footer="0" w:header="0"/>
        </w:sectPr>
      </w:pPr>
    </w:p>
    <w:bookmarkStart w:id="10" w:name="page11"/>
    <w:bookmarkEnd w:id="10"/>
    <w:p>
      <w:pPr>
        <w:jc w:val="both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предлагаются услуги тренажерного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спортивного залов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бассейна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бильярд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городки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настольный и большой теннис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занятия аэробикой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аквоаэробикой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работают пункты проката спортинвентаря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Проводится работа по обеспечению надлежащих условий для укрепления института семьи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стимулированию молодежи к созданию семьи с несколькими детьми и обоими родителями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состоящими в первом браке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сочетанию родителями трудовой деятельности и выполнению семейных обязанностей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районе реализовываются проекты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направленные на укрепление института семьи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Лучшее сельское подворье молодой семьи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Этот день для тебя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Очаровательный малыш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9" w:lineRule="auto"/>
        <w:tabs>
          <w:tab w:leader="none" w:pos="975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районе ведется туристско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краеведческая работа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Разработкой актуальных и внедрением новых маршрутов для обучающихся занимается туристско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краеведческий отдел ГУО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Многопрофильный центр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Ветразь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организации туристско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краеведческой работы акцент сделан на посещение учащимися не только исторических и памятных мест республики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и на изучение истории Белыничского края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Поисково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краеведческие группы учащихся занимаются сбором и обработкой материалов об участниках Великой Отечественной войны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уроженцах и жителях нашего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изучением истории своего края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подвига советского народа в годы Великой Отечественной войны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сбором и оформлением материала о населенных пунктах Белыничского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исключены из учетных данных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проведением экскурсий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4" w:lineRule="auto"/>
        <w:tabs>
          <w:tab w:leader="none" w:pos="1279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рамках профориентационной работы в районе организовано взаимодействие с такими учебными заведениями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Белорусская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государственная сельско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хозяйственная академия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Могилевский государственный университет 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Кулешова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Витебская ордена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Знак почета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государственная академия ветеринарной медицины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Могилевский государственный профессиональный агролесотехнический колледж 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Орловского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рамках данной работы организовываются поездки на дни открытых дверей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тематические экскурсии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учащихся организовываются посещения предприятий и организаций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таких как ОАО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Белыничский протеиновый завод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Белыничская центральная районная больница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РОЧС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ГЛХУ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Белыничский лесхоз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проводятся профконсультации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тематические мероприятия профессиональной направленности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целью проведения профориентационной работы с молодежью организуются встречи руководителей района с учениками выпускных классов школ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организовываются ярмарки профессий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Выбор профессии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выбор судьбы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встречи с интересными людьми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Когда призвание становится профессией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Проводится работа по адаптации молодых специалистов в трудовых коллективах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6" w:lineRule="auto"/>
        <w:tabs>
          <w:tab w:leader="none" w:pos="992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рамках Года малой родины в районе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планируется проведение фотовыставки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Моя малая родина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конкурса видеороликов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Нам засталася спадчына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привлечением молодежи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целью формирования любви и бережного отношения к истории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традициям своей малой родины ГУО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Многопрофильный центр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Ветразь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Белыничи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организован и реализуется экскурсионный тур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Бабушкины сказки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</w:t>
      </w:r>
    </w:p>
    <w:p>
      <w:pPr>
        <w:sectPr>
          <w:pgSz w:w="11900" w:h="16838" w:orient="portrait"/>
          <w:cols w:equalWidth="0" w:num="1">
            <w:col w:w="10060"/>
          </w:cols>
          <w:pgMar w:left="1000" w:top="858" w:right="846" w:bottom="137" w:gutter="0" w:footer="0" w:header="0"/>
        </w:sectPr>
      </w:pPr>
    </w:p>
    <w:bookmarkStart w:id="11" w:name="page12"/>
    <w:bookmarkEnd w:id="11"/>
    <w:p>
      <w:pPr>
        <w:jc w:val="center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 соблюдении мер пожарной безопасности в организациях Могилевской области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»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999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первом полугодии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области произошло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378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пожара меньше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в прошлом году за аналогичный период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(2017 – 382)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погибло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36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(2017 - 33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 них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гибели детей не было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травмировано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(2017 – 9)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Справочно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: 04.02.2018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жилом доме 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Копча Осиповичского района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 пожаре погибли мать и ее ребенок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Причина пожара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нарушения правил пожарной безопасности при устройстве и эксплуатации электрооборудования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right="20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27.05.2018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г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Бобруйске на пожаре погибли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2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ребенка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находившиеся дома без присмотра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Причина пожара устанавливается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right="20" w:firstLine="702"/>
        <w:spacing w:after="0" w:line="234" w:lineRule="auto"/>
        <w:tabs>
          <w:tab w:leader="none" w:pos="996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текущем году на объектах хозяйствования произошло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на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47%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больше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за аналогичный период прошлого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(21).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ведомственной принадлежности наибольшее число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16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(43%)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произошло в организациях частной формы собственности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Примеры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14.01.2018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Кировском р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 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Любоничи произошел пожар в цехе деревообработки частного предприятия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Уничтожено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7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единиц оборудования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Причина пожара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нарушение правил пожарной безопасности при устройстве и эксплуатации электрооборудования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30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.01.2018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г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Круглое произошѐл пожар в бытовом вагончике на территории ООО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Кирпичный завод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Восточный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Погиб гражданин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который работал на данном предприятии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Причина пожара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неосторожное обращение с огнем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18.04.2018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Бобруйском районе 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Осово на одном из предприятий произошел пожар в хозяйственном строении для хранения техники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Уничтожена кровля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две единицы техники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 5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тонн комбикорма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 10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тонн аммиачной селитры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Причина пожара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нарушения правил пожарной безопасности при устройстве и эксплуатации электрооборудования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объектах ЖКХ произошло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два пожара произошло на объектах агропромышленного комплекса и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Причины пожаров на объектах хозяйствования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14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нарушение противопожарных требований при эксплуатации электрооборудования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11 -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печного отопления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4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неосторожного обращения с огнем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поджога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3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проведении огневых работ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Заслуживают внимания вопросы безопасности сельхозпредприятий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текущем году на них произошло три пожара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20.01.2018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произошел пожар в помещении учебного класса механической мастерской филиала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Мокрянский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ОАО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Быховский консервно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овощесушильный завод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».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2"/>
        <w:spacing w:after="0" w:line="235" w:lineRule="auto"/>
        <w:tabs>
          <w:tab w:leader="none" w:pos="1092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результате пожара повреждено перекрытие и кровля впомещении учебного класса на площади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кв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Причина пожара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нарушение правил пожарной безопасности при эксплуатации печного отопления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перекал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20.06.2018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произошел пожар в навесе для хранения сена на территории МТФ 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Тейковичи ОАО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Рассвет им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К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Орловского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Кировского района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12</w:t>
      </w:r>
    </w:p>
    <w:p>
      <w:pPr>
        <w:sectPr>
          <w:pgSz w:w="11900" w:h="16838" w:orient="portrait"/>
          <w:cols w:equalWidth="0" w:num="1">
            <w:col w:w="10060"/>
          </w:cols>
          <w:pgMar w:left="1000" w:top="862" w:right="846" w:bottom="137" w:gutter="0" w:footer="0" w:header="0"/>
        </w:sectPr>
      </w:pPr>
    </w:p>
    <w:bookmarkStart w:id="12" w:name="page13"/>
    <w:bookmarkEnd w:id="12"/>
    <w:p>
      <w:pPr>
        <w:ind w:firstLine="702"/>
        <w:spacing w:after="0" w:line="234" w:lineRule="auto"/>
        <w:tabs>
          <w:tab w:leader="none" w:pos="104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результате пожара уничтожено 57 тонн сена 2018 года заготовки, кровля навеса. Пострадавших нет.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Проверку по факту пожара проводит Кировский РОВД.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06.07.2018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произошел пожар в навесе для хранения сена на территории МТК №1 ОАО «Говяды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Агро» Шкловского района.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</w:p>
    <w:p>
      <w:pPr>
        <w:ind w:right="20" w:firstLine="702"/>
        <w:spacing w:after="0" w:line="235" w:lineRule="auto"/>
        <w:tabs>
          <w:tab w:leader="none" w:pos="972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результате пожара уничтожено около 15 тонн сена в рулонах 2018 года заготовки, повреждена кровля навеса. Пострадавших нет.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Проверку по факту пожара проводит Шкловский РОВД.</w:t>
      </w: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Основными   условиями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  способствующими   возникновению   данных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</w:p>
    <w:p>
      <w:pPr>
        <w:jc w:val="both"/>
        <w:ind w:right="20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пожаров являются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пренебрежение элементарными требованиями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эксплуатация устаревшего изношенного оборудования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отсутствие ежедневного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системного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контроля со стороны должностных лиц за соблюдением противопожарного режима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</w:p>
    <w:p>
      <w:pPr>
        <w:jc w:val="both"/>
        <w:ind w:firstLine="702"/>
        <w:spacing w:after="0" w:line="236" w:lineRule="auto"/>
        <w:tabs>
          <w:tab w:leader="none" w:pos="1034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текущем году во исполнение поручения Совета Министров в области организована работа по контролю за приведением объектов с массовым и круглосуточным пребыванием людей в пожаробезопасное состояние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Проведены проверки и мониторинги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1799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объектов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включая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707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объектов учреждений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308 -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культуры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101 -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386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общежитий и гостиниц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297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других объектов с массовымпребыванием людей общественного назначения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1148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объектах были выявлены нарушения требований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2"/>
        <w:spacing w:after="0" w:line="234" w:lineRule="auto"/>
        <w:tabs>
          <w:tab w:leader="none" w:pos="1054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настоящее время организован контроль за устранением нарушений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целом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отмечается положительная динамика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всегда должностные лица организаций своевременно устраняют нарушения требований нормативных документов в области обеспечения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ходе проверок и повторных мониторингов к административной ответственности привлечено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юридическое лицо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46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руководителей 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должностных лиц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отношении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руководителей объектов 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должностных лиц начаты административные процессы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Анализ произошедших пожаров на объектах организаций области показал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доминирующими причинами их возникновения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сопряженными с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человеческим фактором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являются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нарушение правил эксплуатации печей и теплогенерирующих агрегатов электрооборудования, неосторожное обращение с огнем, нарушения противопожарных требований при проведении огневых работ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Основными условиями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которые создают предпосылки к возникновению пожаров в организациях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являются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1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низкая трудовая дисциплина и пренебрежительное отношение к соблюдению противопожарных требований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отсутствие ежедневного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системного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контроля со стороны должностных лиц за соблюдением противопожарного режима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правил эксплуатации оборудования и соблюдением технологических регламентов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беспечность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пренебрежение элементарными требованиями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в ряде случаев низкая подготовленность работников организаций в области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13</w:t>
      </w:r>
    </w:p>
    <w:p>
      <w:pPr>
        <w:sectPr>
          <w:pgSz w:w="11900" w:h="16838" w:orient="portrait"/>
          <w:cols w:equalWidth="0" w:num="1">
            <w:col w:w="10060"/>
          </w:cols>
          <w:pgMar w:left="1000" w:top="858" w:right="846" w:bottom="137" w:gutter="0" w:footer="0" w:header="0"/>
        </w:sectPr>
      </w:pPr>
    </w:p>
    <w:bookmarkStart w:id="13" w:name="page14"/>
    <w:bookmarkEnd w:id="13"/>
    <w:p>
      <w:pPr>
        <w:jc w:val="both"/>
        <w:ind w:left="6" w:firstLine="702"/>
        <w:spacing w:after="0" w:line="236" w:lineRule="auto"/>
        <w:tabs>
          <w:tab w:leader="none" w:pos="1192" w:val="left"/>
        </w:tabs>
        <w:numPr>
          <w:ilvl w:val="1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каждой организации независимо от форм собственности всеми работниками организаций должны проходить инструктажи по вопросам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Они делятся на вводный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первичный на рабочем месте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повторный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внеплановый и целевой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также должен быть пройден пожарно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технический минимум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система знаний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умений и навыков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позволяющая работнику организации обеспечивать пожарную безопасность в рамках осуществления деятельности по занимаемой должности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профессии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 при проведении работ повышенной опасности без специального образования в данной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2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2"/>
        <w:spacing w:after="0" w:line="234" w:lineRule="auto"/>
        <w:tabs>
          <w:tab w:leader="none" w:pos="1149" w:val="left"/>
        </w:tabs>
        <w:numPr>
          <w:ilvl w:val="1"/>
          <w:numId w:val="17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организациях разрабатываются инструкции о мерах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правилам пожарной безопасности на предприятии должны быть разработаны инструкции о мерах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общеобъектовая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для структурных подразделений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Приказы по пожарной безопасности по предприятию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</w:p>
    <w:p>
      <w:pPr>
        <w:spacing w:after="0" w:line="11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</w:p>
    <w:p>
      <w:pPr>
        <w:ind w:left="6" w:firstLine="702"/>
        <w:spacing w:after="0" w:line="234" w:lineRule="auto"/>
        <w:tabs>
          <w:tab w:leader="none" w:pos="995" w:val="left"/>
        </w:tabs>
        <w:numPr>
          <w:ilvl w:val="1"/>
          <w:numId w:val="17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рамках реализации требований законодательства в области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на предприятиях издаются следующие виды приказов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10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 назначении ответственных лиц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пожарную безопасность подразделений объекта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исправное техническое состояние и эксплуатацию технологического оборудования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вентиляционных и отопительных систем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электроустановок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молниезащитных и заземляющих устройств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средств связи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оповещения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технических средств противопожарной защиты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ТСППЗ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объекта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 создании системы обучения требованиям пожарной безопасности работающих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том числе временно допускаемых на территорию объекта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организации обучения работников пожарно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техническому минимуму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3.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 создании добровольных пожарных дружин и пожарно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технических комиссий и организации их работы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Распределение среди работников объекта обязанностей на случай возникновения пожара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загорания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Все перечисленные выше требования могут быть составной частью одного приказа по пожарной безопасности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Требования к содержанию территории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6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Территорию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которой расположен объект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следует содержать в чистоте и регулярно очищать от сухой травы и листьев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сгораемого мусора и отходов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обладающих взрыво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пожароопасными свойствами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площадках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прилегающих к зданиям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сооружениям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в противопожарных разрывах должна периодически выкашиваться трава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Сушить и скирдовать скошенную траву на территории объектов не допускается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исключением специально отведенных для этих целей мест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допускается выжигание растительности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стерни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31" w:val="left"/>
        </w:tabs>
        <w:numPr>
          <w:ilvl w:val="1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пределах нормативно установленных противопожарных разрывов между зданиями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сооружениями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допускается складирование горючих материалов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строительство временных и установка мобильных зданий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сооружений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стоянка транспортных средств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Проезды и подъезды к зданию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пожарным водоисточникам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подступы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right="20" w:hanging="6"/>
        <w:spacing w:after="0" w:line="235" w:lineRule="auto"/>
        <w:tabs>
          <w:tab w:leader="none" w:pos="280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пожарному инвентарю и оборудованию должны быть свободными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пожарные щиты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пожарные гидранты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пожарные резервуары и 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.).</w:t>
      </w:r>
    </w:p>
    <w:p>
      <w:pPr>
        <w:spacing w:after="0" w:line="160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14</w:t>
      </w:r>
    </w:p>
    <w:p>
      <w:pPr>
        <w:sectPr>
          <w:pgSz w:w="11900" w:h="16838" w:orient="portrait"/>
          <w:cols w:equalWidth="0" w:num="1">
            <w:col w:w="10066"/>
          </w:cols>
          <w:pgMar w:left="994" w:top="858" w:right="846" w:bottom="137" w:gutter="0" w:footer="0" w:header="0"/>
        </w:sectPr>
      </w:pPr>
    </w:p>
    <w:bookmarkStart w:id="14" w:name="page15"/>
    <w:bookmarkEnd w:id="14"/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Требования к путям эвакуации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объектах должны быть разработаны планы эвакуации людей при пожаре для всех этажей зданий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сооружений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единовременном нахождении на этаже более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Двери эвакуационных выходов не допускается закрывать на замки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необходимости допускается использование внутренних легкооткрывающихся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без ключа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замков и запоров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right="2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Ковры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ковровые покрытия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дорожки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иные рулонные покрытия на путях эвакуации должны быть жестко прикреплены к полу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Запрещается размещать под маршами эвакуационных лестничных клеток горючие материалы и различные помещения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исключением узлов управления центрального отопления и водомерных узлов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Соблюдение правил пожарной безопасности не приводит к возникновению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700" w:right="2460" w:firstLine="2290"/>
        <w:spacing w:after="0" w:line="24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пожаров и гибели людей от них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Учреждение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Могилѐвское областное управление по ЧС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ЧАЛАВЕК СЛАЎНЫ ПРАЦАЙ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І зямля ѐй усміхаецца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Працавітага чалавека заўважыць не цяжка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І бачна гэта не толькі па ўзорным парадку ў доме ці на рабочым месцы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тут усѐ зразумела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Сапраўдны руплівец ніколі не спыняецца на дасягнутым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плѐн яго рук упрыгожвае месца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дзе ѐн жыве і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вядома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такі чалавек адрозніваецца асаблівай сціпласцю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шчырасцю і дабрынѐй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Гэтымі словамі можна ахарактарызаваць і жывѐлавода СВК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Калгас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Радзіма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”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Жанну СУСЛЯНКОВУ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на здымку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Сапраўды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працавітасці жанчыны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можна толькі па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добраму пазайздросціць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Кожны дзень з раніцы і ўвечары спяшаецца Жанна Ягораўна на ферму ў вѐсцы Саглассе даглядаць сваіх маленькіх выхаванцаў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Пад яе апекай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302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цяляці ўзростам ад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 тыдняў 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 месяцаў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Праца з такімі малымі вельмі адказная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гэты самы час цялятак вакцынуюць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таму акрамя звычайнай работы па доглядзе жывѐлы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цялятніца ўважліва сочыць за яе станам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пастаянна трымае сувязь з ветырынарамі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Адказныя адносіны да працоўных абавязкаў прыносяць і станоўчы вынік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Два апошнія гады запар Жанна Суслянкова 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’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яўляецца пераможцам раѐннага спаборніцтва сярод жывѐлаводаў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яе здымак трывала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прапісаўся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”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раѐннай Дошцы гонару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Яна неаднаразова ўзнагароджвалася дыпломамі і граматамі рай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аблвыканкама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падзякамі сельгаспрадпрыемства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Ні для каго не сакрэт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ў нашай гаспадарцы асаблівыя адносіны да старанных працаўнікоў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адзначае Жанна Ягораўна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Але я раблю не для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птушачкі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”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ці чарговай прэміі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Вельмі люблю свой занятак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на ферму заўсѐды стараюся прыходзіць у добрым настроі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Жывѐла тонка адчувае і клопат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ласку да яе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Любоў да працы ў Жанны Суслянковай з дзяцінства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Нарадзілася яна ў вѐсцы Ізобішча ў мнагадзетнай сям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’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і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Як самай старэйшай з васьмі дзяцей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прыйшлося дапамагаць выхоўваць не толькі малодшых братоў і сясцѐр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але і даглядаць вялікую</w:t>
      </w: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15</w:t>
      </w:r>
    </w:p>
    <w:p>
      <w:pPr>
        <w:sectPr>
          <w:pgSz w:w="11900" w:h="16838" w:orient="portrait"/>
          <w:cols w:equalWidth="0" w:num="1">
            <w:col w:w="10060"/>
          </w:cols>
          <w:pgMar w:left="1000" w:top="851" w:right="846" w:bottom="137" w:gutter="0" w:footer="0" w:header="0"/>
        </w:sectPr>
      </w:pPr>
    </w:p>
    <w:bookmarkStart w:id="15" w:name="page16"/>
    <w:bookmarkEnd w:id="15"/>
    <w:p>
      <w:pPr>
        <w:jc w:val="both"/>
        <w:ind w:left="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гаспадарку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якую трымалі бацькі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 мужам Аляксандрам Васільевічам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таксама мясцовым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 пасѐлка Север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вырашылі стварыць сямейны ачаг у Магілѐве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 і для большасці маладых сем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’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перад імі паўстала жыллѐвае пытанне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Дый родная зямля прыцягвала назад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тадышнім калгасе імя Леніна адразу ж выдзелілі маладой сям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’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і дом у вѐсцы Саглассе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Муж стаў працаваць вадзіцелем у гаспадарцы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Жанна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калі выйшла з дэкрэтнага адпачынку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жывѐлаводам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Пасля таго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 калгас імя Леніна аб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’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ядналі з СВК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Калгас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Радзіма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”,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Жанна Ягораўна працавала некаторы час на жывѐлагадоўчым комплексе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Усход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”,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потым зноў перайшла на ферму ў Саглассі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Калі толькі пасяліліся ў новым доме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адразу ж завялі падсобную гаспадарку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карову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свіней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курэй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трусоў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гаворыць жанчына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Дзеці раслі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трэба было іх вучыць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выпраўляць у жыццѐ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Таму і дамашняя гаспадарка прырастала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Некалькі гадоў трымалі і чатыры каровы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Дзеці ніколі не адмаўляліся дапамагчы 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рада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Раман і Марына выраслі стараннымі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працавітымі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Дапамагаюць яны і зараз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Дачка знаходзіцца ў дэкрэтным адпачынку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 маленькім Ільюшам праводзяць у нас усѐ лета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сын добраўпарадкоўвае лецішча на пасѐлку Север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Ён займаецца вырошчваннем агародніны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разводзіць авечак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Ёсць у Жаны Ягораўны і адметнае захапленне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кветкі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Увогуле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гэтым заняткам здзівіць цяжка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многія жанчыны паспяхова займаюцца кветкаводствам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Але тут трэба ўлічыць штодзѐнную працоўную занятасць яе на ферме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дый хатнія клопаты ніхто не адмяняў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Цяжка ўявіць сабе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 пры такім шчыльным графіку жанчына знаходзіць яшчэ і час на кветкі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ind w:left="70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Сама не ведаю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калі ўсѐ паспяваю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смяецца Жанна Ягораўна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Корпацца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6" w:hanging="6"/>
        <w:spacing w:after="0" w:line="237" w:lineRule="auto"/>
        <w:tabs>
          <w:tab w:leader="none" w:pos="272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гародчыку для мяне лепш за адпачынак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 ранняй вясны да позняй восені на клумбах нешта квітнее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калі любуюся гэтай прыгажосцю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уся стомленасць і міутсня адыходзяць на іншы план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Гэта такое адчуванне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нібыта ўся зямля табе ўсміхаецца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душа расцвітае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 тыя кветкі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рознакаляровымі фарбамі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Святлана МАГІЛЕЎЧЫК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16</w:t>
      </w:r>
    </w:p>
    <w:sectPr>
      <w:pgSz w:w="11900" w:h="16838" w:orient="portrait"/>
      <w:cols w:equalWidth="0" w:num="1">
        <w:col w:w="10066"/>
      </w:cols>
      <w:pgMar w:left="994" w:top="858" w:right="846" w:bottom="13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4DB127F8"/>
    <w:multiLevelType w:val="hybridMultilevel"/>
    <w:lvl w:ilvl="0">
      <w:lvlJc w:val="left"/>
      <w:lvlText w:val="%1"/>
      <w:numFmt w:val="decimal"/>
      <w:start w:val="1"/>
    </w:lvl>
  </w:abstractNum>
  <w:abstractNum w:abstractNumId="1">
    <w:nsid w:val="216231B"/>
    <w:multiLevelType w:val="hybridMultilevel"/>
    <w:lvl w:ilvl="0">
      <w:lvlJc w:val="left"/>
      <w:lvlText w:val="%1."/>
      <w:numFmt w:val="decimal"/>
      <w:start w:val="2"/>
    </w:lvl>
  </w:abstractNum>
  <w:abstractNum w:abstractNumId="2">
    <w:nsid w:val="1F16E9E8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3">
    <w:nsid w:val="1190CDE7"/>
    <w:multiLevelType w:val="hybridMultilevel"/>
    <w:lvl w:ilvl="0">
      <w:lvlJc w:val="left"/>
      <w:lvlText w:val="В"/>
      <w:numFmt w:val="bullet"/>
      <w:start w:val="1"/>
    </w:lvl>
  </w:abstractNum>
  <w:abstractNum w:abstractNumId="4">
    <w:nsid w:val="66EF438D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5">
    <w:nsid w:val="140E0F76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С"/>
      <w:numFmt w:val="bullet"/>
      <w:start w:val="1"/>
    </w:lvl>
  </w:abstractNum>
  <w:abstractNum w:abstractNumId="6">
    <w:nsid w:val="3352255A"/>
    <w:multiLevelType w:val="hybridMultilevel"/>
    <w:lvl w:ilvl="0">
      <w:lvlJc w:val="left"/>
      <w:lvlText w:val="ОО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7">
    <w:nsid w:val="109CF92E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В"/>
      <w:numFmt w:val="bullet"/>
      <w:start w:val="1"/>
    </w:lvl>
    <w:lvl w:ilvl="2">
      <w:lvlJc w:val="left"/>
      <w:lvlText w:val="В"/>
      <w:numFmt w:val="bullet"/>
      <w:start w:val="1"/>
    </w:lvl>
  </w:abstractNum>
  <w:abstractNum w:abstractNumId="8">
    <w:nsid w:val="DED7263"/>
    <w:multiLevelType w:val="hybridMultilevel"/>
    <w:lvl w:ilvl="0">
      <w:lvlJc w:val="left"/>
      <w:lvlText w:val="С"/>
      <w:numFmt w:val="bullet"/>
      <w:start w:val="1"/>
    </w:lvl>
  </w:abstractNum>
  <w:abstractNum w:abstractNumId="9">
    <w:nsid w:val="7FDCC233"/>
    <w:multiLevelType w:val="hybridMultilevel"/>
    <w:lvl w:ilvl="0">
      <w:lvlJc w:val="left"/>
      <w:lvlText w:val="В"/>
      <w:numFmt w:val="bullet"/>
      <w:start w:val="1"/>
    </w:lvl>
  </w:abstractNum>
  <w:abstractNum w:abstractNumId="10">
    <w:nsid w:val="1BEFD79F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1">
    <w:nsid w:val="41A7C4C9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2">
    <w:nsid w:val="6B68079A"/>
    <w:multiLevelType w:val="hybridMultilevel"/>
    <w:lvl w:ilvl="0">
      <w:lvlJc w:val="left"/>
      <w:lvlText w:val="\endash "/>
      <w:numFmt w:val="bullet"/>
      <w:start w:val="1"/>
    </w:lvl>
    <w:lvl w:ilvl="1">
      <w:lvlJc w:val="left"/>
      <w:lvlText w:val="С"/>
      <w:numFmt w:val="bullet"/>
      <w:start w:val="1"/>
    </w:lvl>
  </w:abstractNum>
  <w:abstractNum w:abstractNumId="13">
    <w:nsid w:val="4E6AFB66"/>
    <w:multiLevelType w:val="hybridMultilevel"/>
    <w:lvl w:ilvl="0">
      <w:lvlJc w:val="left"/>
      <w:lvlText w:val="В"/>
      <w:numFmt w:val="bullet"/>
      <w:start w:val="1"/>
    </w:lvl>
  </w:abstractNum>
  <w:abstractNum w:abstractNumId="14">
    <w:nsid w:val="25E45D32"/>
    <w:multiLevelType w:val="hybridMultilevel"/>
    <w:lvl w:ilvl="0">
      <w:lvlJc w:val="left"/>
      <w:lvlText w:val="В"/>
      <w:numFmt w:val="bullet"/>
      <w:start w:val="1"/>
    </w:lvl>
  </w:abstractNum>
  <w:abstractNum w:abstractNumId="15">
    <w:nsid w:val="519B500D"/>
    <w:multiLevelType w:val="hybridMultilevel"/>
    <w:lvl w:ilvl="0">
      <w:lvlJc w:val="left"/>
      <w:lvlText w:val="В"/>
      <w:numFmt w:val="bullet"/>
      <w:start w:val="1"/>
    </w:lvl>
  </w:abstractNum>
  <w:abstractNum w:abstractNumId="16">
    <w:nsid w:val="431BD7B7"/>
    <w:multiLevelType w:val="hybridMultilevel"/>
    <w:lvl w:ilvl="0">
      <w:lvlJc w:val="left"/>
      <w:lvlText w:val="к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7">
    <w:nsid w:val="3F2DBA31"/>
    <w:multiLevelType w:val="hybridMultilevel"/>
    <w:lvl w:ilvl="0">
      <w:lvlJc w:val="left"/>
      <w:lvlText w:val="\endash "/>
      <w:numFmt w:val="bullet"/>
      <w:start w:val="1"/>
    </w:lvl>
  </w:abstractNum>
  <w:abstractNum w:abstractNumId="18">
    <w:nsid w:val="7C83E458"/>
    <w:multiLevelType w:val="hybridMultilevel"/>
    <w:lvl w:ilvl="0">
      <w:lvlJc w:val="left"/>
      <w:lvlText w:val="ў"/>
      <w:numFmt w:val="bullet"/>
      <w:start w:val="1"/>
    </w:lvl>
    <w:lvl w:ilvl="1">
      <w:lvlJc w:val="left"/>
      <w:lvlText w:val="\endash 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2022-08-09T11:33:24Z</dcterms:created>
  <dcterms:modified xsi:type="dcterms:W3CDTF">2022-08-09T11:33:24Z</dcterms:modified>
</cp:coreProperties>
</file>